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bookmarkStart w:id="1" w:name="_GoBack"/>
      <w:bookmarkEnd w:id="1"/>
    </w:p>
    <w:p w14:paraId="6765B1AE" w14:textId="77777777" w:rsidR="003F3990" w:rsidRDefault="003F3990"/>
    <w:bookmarkEnd w:id="0"/>
    <w:p w14:paraId="4E515063" w14:textId="77777777" w:rsidR="00BA302C" w:rsidRDefault="00BA302C" w:rsidP="00BA302C">
      <w:r>
        <w:t>La siguiente evaluación le permite realizar una autoevaluación para su empresa (Nivel de Negocios).</w:t>
      </w:r>
    </w:p>
    <w:p w14:paraId="2085CAF8" w14:textId="77777777" w:rsidR="00BA302C" w:rsidRDefault="00BA302C" w:rsidP="00BA302C"/>
    <w:p w14:paraId="47C8603D" w14:textId="77777777" w:rsidR="00BA302C" w:rsidRDefault="00BA302C" w:rsidP="00BA302C">
      <w:r>
        <w:t>Use 3 niveles de autoevaluación:</w:t>
      </w:r>
    </w:p>
    <w:p w14:paraId="6D20DD53" w14:textId="77777777" w:rsidR="00BA302C" w:rsidRDefault="00BA302C" w:rsidP="00BA302C">
      <w:pPr>
        <w:pStyle w:val="ListParagraph"/>
        <w:numPr>
          <w:ilvl w:val="0"/>
          <w:numId w:val="1"/>
        </w:numPr>
      </w:pPr>
      <w:r>
        <w:t>Alto: todo lo incluido en los detalles está en su lugar.</w:t>
      </w:r>
    </w:p>
    <w:p w14:paraId="20D798D7" w14:textId="77777777" w:rsidR="00BA302C" w:rsidRDefault="00BA302C" w:rsidP="00BA302C">
      <w:pPr>
        <w:pStyle w:val="ListParagraph"/>
        <w:numPr>
          <w:ilvl w:val="0"/>
          <w:numId w:val="1"/>
        </w:numPr>
      </w:pPr>
      <w:r>
        <w:t>Intermedio: parte de lo incluido en los detalles está en su lugar.</w:t>
      </w:r>
    </w:p>
    <w:p w14:paraId="0A0F21F0" w14:textId="77777777" w:rsidR="00BA302C" w:rsidRDefault="00BA302C" w:rsidP="00BA302C">
      <w:pPr>
        <w:pStyle w:val="ListParagraph"/>
        <w:numPr>
          <w:ilvl w:val="0"/>
          <w:numId w:val="1"/>
        </w:numPr>
      </w:pPr>
      <w:r>
        <w:t>Bajo: poco o nada de los detalles está en su lugar.</w:t>
      </w:r>
    </w:p>
    <w:p w14:paraId="01959FA6" w14:textId="77777777" w:rsidR="00BA302C" w:rsidRDefault="00BA302C" w:rsidP="00BA302C">
      <w:r>
        <w:t>Puntuación:</w:t>
      </w:r>
    </w:p>
    <w:p w14:paraId="641A6444" w14:textId="77777777" w:rsidR="00BA302C" w:rsidRDefault="00BA302C" w:rsidP="00BA302C">
      <w:pPr>
        <w:pStyle w:val="ListParagraph"/>
        <w:numPr>
          <w:ilvl w:val="0"/>
          <w:numId w:val="2"/>
        </w:numPr>
      </w:pPr>
      <w:r>
        <w:t>Buena: 1</w:t>
      </w:r>
    </w:p>
    <w:p w14:paraId="6385710C" w14:textId="77777777" w:rsidR="00BA302C" w:rsidRDefault="00BA302C" w:rsidP="00BA302C">
      <w:pPr>
        <w:pStyle w:val="ListParagraph"/>
        <w:numPr>
          <w:ilvl w:val="0"/>
          <w:numId w:val="2"/>
        </w:numPr>
      </w:pPr>
      <w:r>
        <w:t>Intermedia: 0,5</w:t>
      </w:r>
    </w:p>
    <w:p w14:paraId="114ED7B1" w14:textId="77777777" w:rsidR="00BA302C" w:rsidRDefault="00BA302C" w:rsidP="00BA302C">
      <w:pPr>
        <w:pStyle w:val="ListParagraph"/>
        <w:numPr>
          <w:ilvl w:val="0"/>
          <w:numId w:val="2"/>
        </w:numPr>
      </w:pPr>
      <w:r>
        <w:t>Baja: 0</w:t>
      </w:r>
    </w:p>
    <w:p w14:paraId="18B55E38" w14:textId="77777777" w:rsidR="00BA302C" w:rsidRDefault="00BA302C" w:rsidP="00BA302C">
      <w:r>
        <w:t>Clasificación (puntuación general):</w:t>
      </w:r>
    </w:p>
    <w:p w14:paraId="00EC57AD" w14:textId="6BBB4DDC" w:rsidR="00BA302C" w:rsidRDefault="00BA302C" w:rsidP="00BA302C">
      <w:pPr>
        <w:pStyle w:val="ListParagraph"/>
        <w:numPr>
          <w:ilvl w:val="0"/>
          <w:numId w:val="3"/>
        </w:numPr>
      </w:pPr>
      <w:r>
        <w:t xml:space="preserve">Buena: </w:t>
      </w:r>
      <w:r w:rsidR="00A36053">
        <w:t>75</w:t>
      </w:r>
      <w:r>
        <w:t>-100%</w:t>
      </w:r>
    </w:p>
    <w:p w14:paraId="05EC2659" w14:textId="77777777" w:rsidR="00BA302C" w:rsidRDefault="00BA302C" w:rsidP="00BA302C">
      <w:pPr>
        <w:pStyle w:val="ListParagraph"/>
        <w:numPr>
          <w:ilvl w:val="0"/>
          <w:numId w:val="3"/>
        </w:numPr>
      </w:pPr>
      <w:r>
        <w:t>Intermedia: 25-75%</w:t>
      </w:r>
    </w:p>
    <w:p w14:paraId="4F87D509" w14:textId="77777777" w:rsidR="00BA302C" w:rsidRDefault="00BA302C" w:rsidP="00BA302C">
      <w:pPr>
        <w:pStyle w:val="ListParagraph"/>
        <w:numPr>
          <w:ilvl w:val="0"/>
          <w:numId w:val="3"/>
        </w:numPr>
      </w:pPr>
      <w:r>
        <w:t>Baja: 0-25%</w:t>
      </w:r>
    </w:p>
    <w:p w14:paraId="2904A228" w14:textId="77777777" w:rsidR="00BA302C" w:rsidRDefault="00BA302C" w:rsidP="00BA302C"/>
    <w:p w14:paraId="31CD91A1" w14:textId="77777777" w:rsidR="00BA302C" w:rsidRDefault="00BA302C" w:rsidP="00BA302C">
      <w:r>
        <w:t xml:space="preserve">Nota: el documento se refiere a los vehículos de la Flota Gris.  Estos incluyen cualquier vehículo que no es propiedad de la organización, que no es alquilado por la organización, por lo general, aquellos que son propiedad o proporcionados por el empleado y que se utilizan para realizar viajes por carretera relacionados con el trabajo. </w:t>
      </w:r>
    </w:p>
    <w:p w14:paraId="365890B3" w14:textId="77777777" w:rsidR="00BA302C" w:rsidRDefault="00BA302C" w:rsidP="00BA302C"/>
    <w:p w14:paraId="7EB3FA3E" w14:textId="77777777" w:rsidR="00BA302C" w:rsidRPr="00E27B34" w:rsidRDefault="00BA302C" w:rsidP="00BA302C">
      <w:r>
        <w:t xml:space="preserve">Si tiene alguna consulta sobre el uso de este documento, póngase en contacto con: </w:t>
      </w:r>
      <w:hyperlink r:id="rId7" w:history="1">
        <w:r>
          <w:rPr>
            <w:rStyle w:val="Hyperlink"/>
          </w:rPr>
          <w:t>mail@roadrisktoolkit.com</w:t>
        </w:r>
      </w:hyperlink>
    </w:p>
    <w:p w14:paraId="599406D8" w14:textId="77777777" w:rsidR="00BA302C" w:rsidRPr="00E27B34" w:rsidRDefault="00BA302C" w:rsidP="00BA302C">
      <w:r>
        <w:t xml:space="preserve">Para cursos gratuitos de aprendizaje digital, visite </w:t>
      </w:r>
      <w:hyperlink r:id="rId8" w:history="1">
        <w:r>
          <w:rPr>
            <w:rStyle w:val="Hyperlink"/>
          </w:rPr>
          <w:t>https://roadrisktoolkit.com/</w:t>
        </w:r>
      </w:hyperlink>
    </w:p>
    <w:p w14:paraId="1ED78315" w14:textId="77777777" w:rsidR="00BA302C" w:rsidRDefault="00BA302C" w:rsidP="00BA302C">
      <w:r>
        <w:br w:type="page"/>
      </w:r>
    </w:p>
    <w:tbl>
      <w:tblPr>
        <w:tblStyle w:val="TableGrid"/>
        <w:tblW w:w="0" w:type="auto"/>
        <w:tblLook w:val="04A0" w:firstRow="1" w:lastRow="0" w:firstColumn="1" w:lastColumn="0" w:noHBand="0" w:noVBand="1"/>
      </w:tblPr>
      <w:tblGrid>
        <w:gridCol w:w="2864"/>
        <w:gridCol w:w="4897"/>
        <w:gridCol w:w="1255"/>
      </w:tblGrid>
      <w:tr w:rsidR="00BA302C" w:rsidRPr="00BA302C" w14:paraId="5D0C09EA" w14:textId="77777777" w:rsidTr="00BA302C">
        <w:trPr>
          <w:trHeight w:val="567"/>
        </w:trPr>
        <w:tc>
          <w:tcPr>
            <w:tcW w:w="9016" w:type="dxa"/>
            <w:gridSpan w:val="3"/>
            <w:shd w:val="clear" w:color="auto" w:fill="1B8C89"/>
            <w:vAlign w:val="center"/>
          </w:tcPr>
          <w:p w14:paraId="4CCC84B6" w14:textId="77777777" w:rsidR="00BA302C" w:rsidRPr="00BA302C" w:rsidRDefault="00BA302C" w:rsidP="00BE12A5">
            <w:pPr>
              <w:jc w:val="center"/>
              <w:rPr>
                <w:color w:val="FFFFFF" w:themeColor="background1"/>
                <w:sz w:val="28"/>
                <w:szCs w:val="28"/>
              </w:rPr>
            </w:pPr>
            <w:r>
              <w:rPr>
                <w:b/>
                <w:bCs/>
                <w:color w:val="FFFFFF" w:themeColor="background1"/>
                <w:sz w:val="28"/>
                <w:szCs w:val="28"/>
              </w:rPr>
              <w:lastRenderedPageBreak/>
              <w:t>Gestión</w:t>
            </w:r>
          </w:p>
        </w:tc>
      </w:tr>
      <w:tr w:rsidR="00BA302C" w14:paraId="6C277145" w14:textId="77777777" w:rsidTr="00554DB6">
        <w:tc>
          <w:tcPr>
            <w:tcW w:w="2864" w:type="dxa"/>
            <w:vAlign w:val="center"/>
          </w:tcPr>
          <w:p w14:paraId="31E54102" w14:textId="77777777" w:rsidR="00BA302C" w:rsidRPr="00FC3DAD" w:rsidRDefault="00BA302C" w:rsidP="00BE12A5">
            <w:pPr>
              <w:rPr>
                <w:b/>
                <w:bCs/>
              </w:rPr>
            </w:pPr>
            <w:r>
              <w:rPr>
                <w:b/>
                <w:bCs/>
              </w:rPr>
              <w:t>Tema</w:t>
            </w:r>
          </w:p>
        </w:tc>
        <w:tc>
          <w:tcPr>
            <w:tcW w:w="4897" w:type="dxa"/>
          </w:tcPr>
          <w:p w14:paraId="42FBABE3" w14:textId="77777777" w:rsidR="00BA302C" w:rsidRPr="00FC3DAD" w:rsidRDefault="00BA302C" w:rsidP="00BE12A5">
            <w:pPr>
              <w:rPr>
                <w:b/>
                <w:bCs/>
              </w:rPr>
            </w:pPr>
            <w:r>
              <w:rPr>
                <w:b/>
                <w:bCs/>
              </w:rPr>
              <w:t>Detalle</w:t>
            </w:r>
          </w:p>
        </w:tc>
        <w:tc>
          <w:tcPr>
            <w:tcW w:w="1255" w:type="dxa"/>
          </w:tcPr>
          <w:p w14:paraId="4BFE0C37" w14:textId="77777777" w:rsidR="00BA302C" w:rsidRPr="00FC3DAD" w:rsidRDefault="00BA302C" w:rsidP="00BE12A5">
            <w:pPr>
              <w:rPr>
                <w:b/>
                <w:bCs/>
              </w:rPr>
            </w:pPr>
            <w:r>
              <w:rPr>
                <w:b/>
                <w:bCs/>
              </w:rPr>
              <w:t>Puntuación</w:t>
            </w:r>
          </w:p>
        </w:tc>
      </w:tr>
      <w:tr w:rsidR="00BA302C" w:rsidRPr="00BA302C" w14:paraId="3FA47679" w14:textId="77777777" w:rsidTr="00BE12A5">
        <w:tc>
          <w:tcPr>
            <w:tcW w:w="9016" w:type="dxa"/>
            <w:gridSpan w:val="3"/>
            <w:vAlign w:val="center"/>
          </w:tcPr>
          <w:p w14:paraId="4031555C" w14:textId="77777777" w:rsidR="00BA302C" w:rsidRPr="00BA302C" w:rsidRDefault="00BA302C" w:rsidP="00BE12A5">
            <w:pPr>
              <w:rPr>
                <w:color w:val="1E69AA"/>
              </w:rPr>
            </w:pPr>
            <w:r>
              <w:rPr>
                <w:b/>
                <w:bCs/>
                <w:color w:val="1E69AA"/>
              </w:rPr>
              <w:t>Gestión Financiera</w:t>
            </w:r>
          </w:p>
        </w:tc>
      </w:tr>
      <w:tr w:rsidR="00BA302C" w14:paraId="75207280" w14:textId="77777777" w:rsidTr="00554DB6">
        <w:tc>
          <w:tcPr>
            <w:tcW w:w="2864" w:type="dxa"/>
            <w:vAlign w:val="center"/>
          </w:tcPr>
          <w:p w14:paraId="2361E7CF" w14:textId="77777777" w:rsidR="00BA302C" w:rsidRDefault="00BA302C" w:rsidP="00BE12A5">
            <w:r>
              <w:t>Coste Total del Riesgo</w:t>
            </w:r>
          </w:p>
        </w:tc>
        <w:tc>
          <w:tcPr>
            <w:tcW w:w="4897" w:type="dxa"/>
          </w:tcPr>
          <w:p w14:paraId="7E06C098" w14:textId="77777777" w:rsidR="00BA302C" w:rsidRPr="00FC3DAD" w:rsidRDefault="00BA302C" w:rsidP="00BE12A5">
            <w:r>
              <w:t>El Coste Total del Riesgo, incluidas TODAS las pérdidas no aseguradas / costes ocultos, se conoce y comprende en toda la organización, y también se entiende en relación con la forma en que los ingresos necesarios para financiar el Coste Total del Riesgo se relacionan con el producto o servicio principal.</w:t>
            </w:r>
          </w:p>
        </w:tc>
        <w:tc>
          <w:tcPr>
            <w:tcW w:w="1255" w:type="dxa"/>
          </w:tcPr>
          <w:p w14:paraId="64178399" w14:textId="77777777" w:rsidR="00BA302C" w:rsidRDefault="00BA302C" w:rsidP="00BE12A5"/>
        </w:tc>
      </w:tr>
      <w:tr w:rsidR="00BA302C" w14:paraId="3630036A" w14:textId="77777777" w:rsidTr="00554DB6">
        <w:tc>
          <w:tcPr>
            <w:tcW w:w="2864" w:type="dxa"/>
            <w:vAlign w:val="center"/>
          </w:tcPr>
          <w:p w14:paraId="78D5843E" w14:textId="77777777" w:rsidR="00BA302C" w:rsidRDefault="00BA302C" w:rsidP="00BE12A5">
            <w:r>
              <w:t>Presupuesto de Gestión de Riesgos</w:t>
            </w:r>
          </w:p>
        </w:tc>
        <w:tc>
          <w:tcPr>
            <w:tcW w:w="4897" w:type="dxa"/>
          </w:tcPr>
          <w:p w14:paraId="323F4685" w14:textId="77777777" w:rsidR="00BA302C" w:rsidRPr="00FC3DAD" w:rsidRDefault="00BA302C" w:rsidP="00BE12A5">
            <w:r>
              <w:t>El programa de gestión del riesgo vial relacionado con el trabajo tiene un presupuesto separado, suficiente para las acciones acordadas, limitado y revisado al menos anualmente en función de la evolución de la estrategia y el programa.</w:t>
            </w:r>
          </w:p>
        </w:tc>
        <w:tc>
          <w:tcPr>
            <w:tcW w:w="1255" w:type="dxa"/>
          </w:tcPr>
          <w:p w14:paraId="408129DE" w14:textId="77777777" w:rsidR="00BA302C" w:rsidRDefault="00BA302C" w:rsidP="00BE12A5"/>
        </w:tc>
      </w:tr>
      <w:tr w:rsidR="00BA302C" w:rsidRPr="00BA302C" w14:paraId="71172920" w14:textId="77777777" w:rsidTr="00BE12A5">
        <w:tc>
          <w:tcPr>
            <w:tcW w:w="9016" w:type="dxa"/>
            <w:gridSpan w:val="3"/>
            <w:vAlign w:val="center"/>
          </w:tcPr>
          <w:p w14:paraId="6AFFC436" w14:textId="77777777" w:rsidR="00BA302C" w:rsidRPr="00BA302C" w:rsidRDefault="00BA302C" w:rsidP="00BE12A5">
            <w:pPr>
              <w:rPr>
                <w:b/>
                <w:bCs/>
                <w:color w:val="1E69AA"/>
              </w:rPr>
            </w:pPr>
            <w:r>
              <w:rPr>
                <w:b/>
                <w:bCs/>
                <w:color w:val="1E69AA"/>
              </w:rPr>
              <w:t>Conflictos Operacionales</w:t>
            </w:r>
          </w:p>
        </w:tc>
      </w:tr>
      <w:tr w:rsidR="00BA302C" w14:paraId="587B9930" w14:textId="77777777" w:rsidTr="00554DB6">
        <w:tc>
          <w:tcPr>
            <w:tcW w:w="2864" w:type="dxa"/>
            <w:vAlign w:val="center"/>
          </w:tcPr>
          <w:p w14:paraId="2091A4D7" w14:textId="77777777" w:rsidR="00BA302C" w:rsidRDefault="00BA302C" w:rsidP="00BE12A5">
            <w:r>
              <w:t>Alineación de las prácticas operativas con los requisitos de conducción segura.</w:t>
            </w:r>
          </w:p>
        </w:tc>
        <w:tc>
          <w:tcPr>
            <w:tcW w:w="4897" w:type="dxa"/>
          </w:tcPr>
          <w:p w14:paraId="0E6D9B75" w14:textId="77777777" w:rsidR="00BA302C" w:rsidRPr="00FC3DAD" w:rsidRDefault="00BA302C" w:rsidP="00BE12A5">
            <w:r>
              <w:t>Las políticas, procedimientos y prácticas operacionales están totalmente alineados con los requisitos de conducción segura y las políticas de conducción segura de la organización.  Cualquier cambio en las operaciones, incluidas las adquisiciones, tiene en cuenta los requisitos de conducción segura antes de llevarse a cabo.</w:t>
            </w:r>
          </w:p>
        </w:tc>
        <w:tc>
          <w:tcPr>
            <w:tcW w:w="1255" w:type="dxa"/>
          </w:tcPr>
          <w:p w14:paraId="1DF198B2" w14:textId="77777777" w:rsidR="00BA302C" w:rsidRDefault="00BA302C" w:rsidP="00BE12A5"/>
        </w:tc>
      </w:tr>
      <w:tr w:rsidR="00BA302C" w:rsidRPr="00BA302C" w14:paraId="4CE75F9C" w14:textId="77777777" w:rsidTr="00BE12A5">
        <w:tc>
          <w:tcPr>
            <w:tcW w:w="9016" w:type="dxa"/>
            <w:gridSpan w:val="3"/>
            <w:vAlign w:val="center"/>
          </w:tcPr>
          <w:p w14:paraId="18B0ACF1" w14:textId="77777777" w:rsidR="00BA302C" w:rsidRPr="00BA302C" w:rsidRDefault="00BA302C" w:rsidP="00BE12A5">
            <w:pPr>
              <w:rPr>
                <w:b/>
                <w:bCs/>
                <w:color w:val="1E69AA"/>
              </w:rPr>
            </w:pPr>
            <w:r>
              <w:rPr>
                <w:b/>
                <w:bCs/>
                <w:color w:val="1E69AA"/>
              </w:rPr>
              <w:t>Supervisión del Conductor</w:t>
            </w:r>
          </w:p>
        </w:tc>
      </w:tr>
      <w:tr w:rsidR="00BA302C" w14:paraId="3158A5ED" w14:textId="77777777" w:rsidTr="00554DB6">
        <w:tc>
          <w:tcPr>
            <w:tcW w:w="2864" w:type="dxa"/>
            <w:vAlign w:val="center"/>
          </w:tcPr>
          <w:p w14:paraId="634BB724" w14:textId="77777777" w:rsidR="00BA302C" w:rsidRPr="00FC3DAD" w:rsidRDefault="00BA302C" w:rsidP="00BE12A5">
            <w:r>
              <w:t>Seguimiento del conductor</w:t>
            </w:r>
          </w:p>
        </w:tc>
        <w:tc>
          <w:tcPr>
            <w:tcW w:w="4897" w:type="dxa"/>
          </w:tcPr>
          <w:p w14:paraId="6ABDC741" w14:textId="77777777" w:rsidR="00BA302C" w:rsidRPr="00FC3DAD" w:rsidRDefault="00BA302C" w:rsidP="00BE12A5">
            <w:r>
              <w:t>Todos los conductores, incluidos los conductores de la Flota Gris, son supervisados de manera rutinaria y transparente mediante el uso de datos de telemetría, unidades acompañadas, informes públicos de mala conducción observada, análisis de registros (combustible, mantenimiento, teléfono móvil) según corresponda.</w:t>
            </w:r>
          </w:p>
        </w:tc>
        <w:tc>
          <w:tcPr>
            <w:tcW w:w="1255" w:type="dxa"/>
          </w:tcPr>
          <w:p w14:paraId="0D91E707" w14:textId="77777777" w:rsidR="00BA302C" w:rsidRDefault="00BA302C" w:rsidP="00BE12A5"/>
        </w:tc>
      </w:tr>
      <w:tr w:rsidR="00BA302C" w14:paraId="71BC643B" w14:textId="77777777" w:rsidTr="00BE12A5">
        <w:tc>
          <w:tcPr>
            <w:tcW w:w="9016" w:type="dxa"/>
            <w:gridSpan w:val="3"/>
            <w:vAlign w:val="center"/>
          </w:tcPr>
          <w:p w14:paraId="30E23949" w14:textId="77777777" w:rsidR="00BA302C" w:rsidRDefault="00BA302C" w:rsidP="00BE12A5"/>
        </w:tc>
      </w:tr>
      <w:tr w:rsidR="00BA302C" w:rsidRPr="00BA302C" w14:paraId="2EEDBBB1" w14:textId="77777777" w:rsidTr="00BA302C">
        <w:trPr>
          <w:trHeight w:val="567"/>
        </w:trPr>
        <w:tc>
          <w:tcPr>
            <w:tcW w:w="9016" w:type="dxa"/>
            <w:gridSpan w:val="3"/>
            <w:shd w:val="clear" w:color="auto" w:fill="1B8C89"/>
            <w:vAlign w:val="center"/>
          </w:tcPr>
          <w:p w14:paraId="635E2CE8" w14:textId="77777777" w:rsidR="00BA302C" w:rsidRPr="00BA302C" w:rsidRDefault="00BA302C" w:rsidP="00BE12A5">
            <w:pPr>
              <w:jc w:val="center"/>
              <w:rPr>
                <w:color w:val="FFFFFF" w:themeColor="background1"/>
              </w:rPr>
            </w:pPr>
            <w:r>
              <w:rPr>
                <w:b/>
                <w:bCs/>
                <w:color w:val="FFFFFF" w:themeColor="background1"/>
                <w:sz w:val="28"/>
                <w:szCs w:val="28"/>
              </w:rPr>
              <w:t>Políticas y Procedimientos</w:t>
            </w:r>
          </w:p>
        </w:tc>
      </w:tr>
      <w:tr w:rsidR="00BA302C" w14:paraId="5E2D6030" w14:textId="77777777" w:rsidTr="00554DB6">
        <w:tc>
          <w:tcPr>
            <w:tcW w:w="2864" w:type="dxa"/>
            <w:vAlign w:val="center"/>
          </w:tcPr>
          <w:p w14:paraId="71462EFE" w14:textId="77777777" w:rsidR="00BA302C" w:rsidRPr="00FC3DAD" w:rsidRDefault="00BA302C" w:rsidP="00BE12A5">
            <w:r>
              <w:rPr>
                <w:b/>
                <w:bCs/>
              </w:rPr>
              <w:t>Tema</w:t>
            </w:r>
          </w:p>
        </w:tc>
        <w:tc>
          <w:tcPr>
            <w:tcW w:w="4897" w:type="dxa"/>
          </w:tcPr>
          <w:p w14:paraId="2C85C13B" w14:textId="77777777" w:rsidR="00BA302C" w:rsidRPr="00FC3DAD" w:rsidRDefault="00BA302C" w:rsidP="00BE12A5">
            <w:r>
              <w:rPr>
                <w:b/>
                <w:bCs/>
              </w:rPr>
              <w:t>Detalle</w:t>
            </w:r>
          </w:p>
        </w:tc>
        <w:tc>
          <w:tcPr>
            <w:tcW w:w="1255" w:type="dxa"/>
          </w:tcPr>
          <w:p w14:paraId="2252D11F" w14:textId="77777777" w:rsidR="00BA302C" w:rsidRDefault="00BA302C" w:rsidP="00BE12A5">
            <w:r>
              <w:rPr>
                <w:b/>
                <w:bCs/>
              </w:rPr>
              <w:t>Puntuación</w:t>
            </w:r>
          </w:p>
        </w:tc>
      </w:tr>
      <w:tr w:rsidR="00BA302C" w:rsidRPr="00BA302C" w14:paraId="7BF7DAAB" w14:textId="77777777" w:rsidTr="00BE12A5">
        <w:tc>
          <w:tcPr>
            <w:tcW w:w="9016" w:type="dxa"/>
            <w:gridSpan w:val="3"/>
            <w:vAlign w:val="center"/>
          </w:tcPr>
          <w:p w14:paraId="0DCFE7AF" w14:textId="77777777" w:rsidR="00BA302C" w:rsidRPr="00BA302C" w:rsidRDefault="00BA302C" w:rsidP="00BE12A5">
            <w:pPr>
              <w:rPr>
                <w:b/>
                <w:bCs/>
                <w:color w:val="1E69AA"/>
              </w:rPr>
            </w:pPr>
            <w:r>
              <w:rPr>
                <w:b/>
                <w:bCs/>
                <w:color w:val="1E69AA"/>
              </w:rPr>
              <w:t>Conducción en el Trabajo / Política de Seguridad de la Flota</w:t>
            </w:r>
          </w:p>
        </w:tc>
      </w:tr>
      <w:tr w:rsidR="00BA302C" w14:paraId="23FFA7FD" w14:textId="77777777" w:rsidTr="00554DB6">
        <w:tc>
          <w:tcPr>
            <w:tcW w:w="2864" w:type="dxa"/>
            <w:vAlign w:val="center"/>
          </w:tcPr>
          <w:p w14:paraId="6E8CD7DE" w14:textId="77777777" w:rsidR="00BA302C" w:rsidRPr="00FC3DAD" w:rsidRDefault="00BA302C" w:rsidP="00BE12A5">
            <w:r>
              <w:t>Política de gestión de riesgos viales relacionados con el trabajo</w:t>
            </w:r>
          </w:p>
        </w:tc>
        <w:tc>
          <w:tcPr>
            <w:tcW w:w="4897" w:type="dxa"/>
          </w:tcPr>
          <w:p w14:paraId="2C424255" w14:textId="77777777" w:rsidR="00BA302C" w:rsidRPr="00FC3DAD" w:rsidRDefault="00BA302C" w:rsidP="00BE12A5">
            <w:r>
              <w:t>Existe una política integral, revisada y actualizada anualmente.</w:t>
            </w:r>
          </w:p>
        </w:tc>
        <w:tc>
          <w:tcPr>
            <w:tcW w:w="1255" w:type="dxa"/>
          </w:tcPr>
          <w:p w14:paraId="04F772E7" w14:textId="77777777" w:rsidR="00BA302C" w:rsidRPr="00FC3DAD" w:rsidRDefault="00BA302C" w:rsidP="00BE12A5">
            <w:pPr>
              <w:rPr>
                <w:b/>
                <w:bCs/>
              </w:rPr>
            </w:pPr>
          </w:p>
        </w:tc>
      </w:tr>
      <w:tr w:rsidR="00BA302C" w14:paraId="4AE80A96" w14:textId="77777777" w:rsidTr="00554DB6">
        <w:tc>
          <w:tcPr>
            <w:tcW w:w="2864" w:type="dxa"/>
            <w:vAlign w:val="center"/>
          </w:tcPr>
          <w:p w14:paraId="21DC64DC" w14:textId="77777777" w:rsidR="00BA302C" w:rsidRPr="00FC3DAD" w:rsidRDefault="00BA302C" w:rsidP="00BE12A5">
            <w:r>
              <w:t>Legislación</w:t>
            </w:r>
          </w:p>
        </w:tc>
        <w:tc>
          <w:tcPr>
            <w:tcW w:w="4897" w:type="dxa"/>
          </w:tcPr>
          <w:p w14:paraId="1F161E7F" w14:textId="77777777" w:rsidR="00BA302C" w:rsidRPr="00FC3DAD" w:rsidRDefault="00BA302C" w:rsidP="00BE12A5">
            <w:r>
              <w:t>La política cumple totalmente con la legislación local, en todas las áreas de operación, y establece claramente las expectativas con las que debe cumplir el empleado.</w:t>
            </w:r>
          </w:p>
        </w:tc>
        <w:tc>
          <w:tcPr>
            <w:tcW w:w="1255" w:type="dxa"/>
          </w:tcPr>
          <w:p w14:paraId="2E9CA80F" w14:textId="77777777" w:rsidR="00BA302C" w:rsidRPr="00FC3DAD" w:rsidRDefault="00BA302C" w:rsidP="00BE12A5">
            <w:pPr>
              <w:rPr>
                <w:b/>
                <w:bCs/>
              </w:rPr>
            </w:pPr>
          </w:p>
        </w:tc>
      </w:tr>
      <w:tr w:rsidR="00BA302C" w:rsidRPr="00BA302C" w14:paraId="4988FD1B" w14:textId="77777777" w:rsidTr="00BE12A5">
        <w:tc>
          <w:tcPr>
            <w:tcW w:w="9016" w:type="dxa"/>
            <w:gridSpan w:val="3"/>
            <w:vAlign w:val="center"/>
          </w:tcPr>
          <w:p w14:paraId="42EAECBE" w14:textId="77777777" w:rsidR="00BA302C" w:rsidRPr="00BA302C" w:rsidRDefault="00BA302C" w:rsidP="00BE12A5">
            <w:pPr>
              <w:rPr>
                <w:b/>
                <w:bCs/>
                <w:color w:val="1E69AA"/>
              </w:rPr>
            </w:pPr>
            <w:r>
              <w:rPr>
                <w:b/>
                <w:bCs/>
                <w:color w:val="1E69AA"/>
              </w:rPr>
              <w:t>Política de Conducción Distraída</w:t>
            </w:r>
          </w:p>
        </w:tc>
      </w:tr>
      <w:tr w:rsidR="00BA302C" w14:paraId="2D6CF9AC" w14:textId="77777777" w:rsidTr="00554DB6">
        <w:tc>
          <w:tcPr>
            <w:tcW w:w="2864" w:type="dxa"/>
            <w:vAlign w:val="center"/>
          </w:tcPr>
          <w:p w14:paraId="2762C49C" w14:textId="77777777" w:rsidR="00BA302C" w:rsidRPr="00FC3DAD" w:rsidRDefault="00BA302C" w:rsidP="00BE12A5">
            <w:r>
              <w:t>El uso de teléfonos móviles</w:t>
            </w:r>
          </w:p>
        </w:tc>
        <w:tc>
          <w:tcPr>
            <w:tcW w:w="4897" w:type="dxa"/>
          </w:tcPr>
          <w:p w14:paraId="131D594F" w14:textId="77777777" w:rsidR="00BA302C" w:rsidRPr="00FC3DAD" w:rsidRDefault="00BA302C" w:rsidP="00BE12A5">
            <w:r>
              <w:t xml:space="preserve">No se permite el uso de teléfonos móviles mientras se conduce, incluido el sistema de manos libres, y se realiza una revisión para verificar el cumplimiento. Los conductores nunca deben usar su </w:t>
            </w:r>
            <w:proofErr w:type="spellStart"/>
            <w:r>
              <w:t>smartphone</w:t>
            </w:r>
            <w:proofErr w:type="spellEnd"/>
            <w:r>
              <w:t xml:space="preserve"> para otra cosa que no sea navegación (si está permitido en la política) mientras conducen.</w:t>
            </w:r>
          </w:p>
        </w:tc>
        <w:tc>
          <w:tcPr>
            <w:tcW w:w="1255" w:type="dxa"/>
          </w:tcPr>
          <w:p w14:paraId="67F7EDDC" w14:textId="77777777" w:rsidR="00BA302C" w:rsidRPr="00FC3DAD" w:rsidRDefault="00BA302C" w:rsidP="00BE12A5">
            <w:pPr>
              <w:rPr>
                <w:b/>
                <w:bCs/>
              </w:rPr>
            </w:pPr>
          </w:p>
        </w:tc>
      </w:tr>
      <w:tr w:rsidR="00BA302C" w14:paraId="319BD754" w14:textId="77777777" w:rsidTr="00554DB6">
        <w:tc>
          <w:tcPr>
            <w:tcW w:w="2864" w:type="dxa"/>
            <w:vAlign w:val="center"/>
          </w:tcPr>
          <w:p w14:paraId="48B312C7" w14:textId="77777777" w:rsidR="00BA302C" w:rsidRPr="001F1A7D" w:rsidRDefault="00BA302C" w:rsidP="00BE12A5">
            <w:r>
              <w:lastRenderedPageBreak/>
              <w:t>Otras distracciones</w:t>
            </w:r>
          </w:p>
        </w:tc>
        <w:tc>
          <w:tcPr>
            <w:tcW w:w="4897" w:type="dxa"/>
          </w:tcPr>
          <w:p w14:paraId="18E42739" w14:textId="77777777" w:rsidR="00BA302C" w:rsidRPr="001F1A7D" w:rsidRDefault="00BA302C" w:rsidP="00BE12A5">
            <w:r>
              <w:t>El uso de cualquier material potencialmente distractor no está permitido mientras se conduce, con revisiones para verificar el cumplimiento.</w:t>
            </w:r>
          </w:p>
        </w:tc>
        <w:tc>
          <w:tcPr>
            <w:tcW w:w="1255" w:type="dxa"/>
          </w:tcPr>
          <w:p w14:paraId="03C181C3" w14:textId="77777777" w:rsidR="00BA302C" w:rsidRPr="00FC3DAD" w:rsidRDefault="00BA302C" w:rsidP="00BE12A5">
            <w:pPr>
              <w:rPr>
                <w:b/>
                <w:bCs/>
              </w:rPr>
            </w:pPr>
          </w:p>
        </w:tc>
      </w:tr>
      <w:tr w:rsidR="00BA302C" w:rsidRPr="00BA302C" w14:paraId="22A4C407" w14:textId="77777777" w:rsidTr="00BE12A5">
        <w:tc>
          <w:tcPr>
            <w:tcW w:w="9016" w:type="dxa"/>
            <w:gridSpan w:val="3"/>
            <w:vAlign w:val="center"/>
          </w:tcPr>
          <w:p w14:paraId="42A081EA" w14:textId="77777777" w:rsidR="00BA302C" w:rsidRPr="00BA302C" w:rsidRDefault="00BA302C" w:rsidP="00BE12A5">
            <w:pPr>
              <w:rPr>
                <w:b/>
                <w:bCs/>
                <w:color w:val="1E69AA"/>
              </w:rPr>
            </w:pPr>
            <w:r>
              <w:rPr>
                <w:b/>
                <w:bCs/>
                <w:color w:val="1E69AA"/>
              </w:rPr>
              <w:t>Política de Gestión del Cansancio</w:t>
            </w:r>
          </w:p>
        </w:tc>
      </w:tr>
      <w:tr w:rsidR="00BA302C" w14:paraId="22D8DE0B" w14:textId="77777777" w:rsidTr="00554DB6">
        <w:tc>
          <w:tcPr>
            <w:tcW w:w="2864" w:type="dxa"/>
            <w:vAlign w:val="center"/>
          </w:tcPr>
          <w:p w14:paraId="2601081A" w14:textId="77777777" w:rsidR="00BA302C" w:rsidRPr="001F1A7D" w:rsidRDefault="00BA302C" w:rsidP="00BE12A5">
            <w:r>
              <w:t>Número total de horas de trabajo</w:t>
            </w:r>
          </w:p>
        </w:tc>
        <w:tc>
          <w:tcPr>
            <w:tcW w:w="4897" w:type="dxa"/>
          </w:tcPr>
          <w:p w14:paraId="10A092D5" w14:textId="77777777" w:rsidR="00BA302C" w:rsidRPr="001F1A7D" w:rsidRDefault="00BA302C" w:rsidP="00BE12A5">
            <w:r>
              <w:t>Existe una política que limita la duración total de la jornada laboral, incluida la conducción y los desplazamientos, con una auditoría de seguimiento para demostrar el cumplimiento.</w:t>
            </w:r>
          </w:p>
        </w:tc>
        <w:tc>
          <w:tcPr>
            <w:tcW w:w="1255" w:type="dxa"/>
          </w:tcPr>
          <w:p w14:paraId="7B2DB07E" w14:textId="77777777" w:rsidR="00BA302C" w:rsidRPr="00FC3DAD" w:rsidRDefault="00BA302C" w:rsidP="00BE12A5">
            <w:pPr>
              <w:rPr>
                <w:b/>
                <w:bCs/>
              </w:rPr>
            </w:pPr>
          </w:p>
        </w:tc>
      </w:tr>
      <w:tr w:rsidR="00BA302C" w:rsidRPr="00BA302C" w14:paraId="2AE59490" w14:textId="77777777" w:rsidTr="00BE12A5">
        <w:tc>
          <w:tcPr>
            <w:tcW w:w="9016" w:type="dxa"/>
            <w:gridSpan w:val="3"/>
            <w:vAlign w:val="center"/>
          </w:tcPr>
          <w:p w14:paraId="74CB00AB" w14:textId="77777777" w:rsidR="00BA302C" w:rsidRPr="00BA302C" w:rsidRDefault="00BA302C" w:rsidP="00BE12A5">
            <w:pPr>
              <w:rPr>
                <w:b/>
                <w:bCs/>
                <w:color w:val="1E69AA"/>
              </w:rPr>
            </w:pPr>
            <w:r>
              <w:rPr>
                <w:b/>
                <w:bCs/>
                <w:color w:val="1E69AA"/>
              </w:rPr>
              <w:t>Política de consumo de Alcohol y Drogas</w:t>
            </w:r>
          </w:p>
        </w:tc>
      </w:tr>
      <w:tr w:rsidR="00BA302C" w14:paraId="7B2222EE" w14:textId="77777777" w:rsidTr="00554DB6">
        <w:tc>
          <w:tcPr>
            <w:tcW w:w="2864" w:type="dxa"/>
            <w:vAlign w:val="center"/>
          </w:tcPr>
          <w:p w14:paraId="44811647" w14:textId="77777777" w:rsidR="00BA302C" w:rsidRPr="001F1A7D" w:rsidRDefault="00BA302C" w:rsidP="00BE12A5">
            <w:r>
              <w:t>Política de consumo de Alcohol y Drogas</w:t>
            </w:r>
          </w:p>
        </w:tc>
        <w:tc>
          <w:tcPr>
            <w:tcW w:w="4897" w:type="dxa"/>
          </w:tcPr>
          <w:p w14:paraId="274083F3" w14:textId="77777777" w:rsidR="00BA302C" w:rsidRPr="001F1A7D" w:rsidRDefault="00BA302C" w:rsidP="00BE12A5">
            <w:r>
              <w:t>Existe una política integral que tiene tolerancia cero a cualquier tipo de alcohol o drogas recreativas en el sistema de cualquier conductor, independientemente de la legislación local. El uso de medicamentos, ya sean recetados o no, también está cubierto por la política en relación con aquellos medicamentos que pueden aumentar el riesgo de que el conductor se vea involucrado en un accidente (p. ej. aquellos que pueden causar somnolencia).</w:t>
            </w:r>
          </w:p>
        </w:tc>
        <w:tc>
          <w:tcPr>
            <w:tcW w:w="1255" w:type="dxa"/>
          </w:tcPr>
          <w:p w14:paraId="7112D92A" w14:textId="77777777" w:rsidR="00BA302C" w:rsidRPr="00FC3DAD" w:rsidRDefault="00BA302C" w:rsidP="00BE12A5">
            <w:pPr>
              <w:rPr>
                <w:b/>
                <w:bCs/>
              </w:rPr>
            </w:pPr>
          </w:p>
        </w:tc>
      </w:tr>
      <w:tr w:rsidR="00BA302C" w:rsidRPr="00BA302C" w14:paraId="72B4CDFC" w14:textId="77777777" w:rsidTr="00BE12A5">
        <w:tc>
          <w:tcPr>
            <w:tcW w:w="9016" w:type="dxa"/>
            <w:gridSpan w:val="3"/>
            <w:vAlign w:val="center"/>
          </w:tcPr>
          <w:p w14:paraId="67A2FC45" w14:textId="77777777" w:rsidR="00BA302C" w:rsidRPr="00BA302C" w:rsidRDefault="00BA302C" w:rsidP="00BE12A5">
            <w:pPr>
              <w:rPr>
                <w:b/>
                <w:bCs/>
                <w:color w:val="1E69AA"/>
              </w:rPr>
            </w:pPr>
            <w:r>
              <w:rPr>
                <w:b/>
                <w:bCs/>
                <w:color w:val="1E69AA"/>
              </w:rPr>
              <w:t>Problemas de vista</w:t>
            </w:r>
          </w:p>
        </w:tc>
      </w:tr>
      <w:tr w:rsidR="00BA302C" w14:paraId="12B08405" w14:textId="77777777" w:rsidTr="00554DB6">
        <w:tc>
          <w:tcPr>
            <w:tcW w:w="2864" w:type="dxa"/>
            <w:vAlign w:val="center"/>
          </w:tcPr>
          <w:p w14:paraId="1D4F4478" w14:textId="77777777" w:rsidR="00BA302C" w:rsidRPr="001F1A7D" w:rsidRDefault="00BA302C" w:rsidP="00BE12A5">
            <w:r>
              <w:t>Examinación de la vista</w:t>
            </w:r>
          </w:p>
        </w:tc>
        <w:tc>
          <w:tcPr>
            <w:tcW w:w="4897" w:type="dxa"/>
          </w:tcPr>
          <w:p w14:paraId="05027641" w14:textId="77777777" w:rsidR="00BA302C" w:rsidRPr="001F1A7D" w:rsidRDefault="00BA302C" w:rsidP="00BE12A5">
            <w:r>
              <w:t>Todos los empleados que realizan viajes por carretera relacionados con el trabajo, incluidos los conductores de la Flota Gris, reciben pruebas de visión al menos una vez cada 2 años, con una auditoría de seguimiento.</w:t>
            </w:r>
          </w:p>
        </w:tc>
        <w:tc>
          <w:tcPr>
            <w:tcW w:w="1255" w:type="dxa"/>
          </w:tcPr>
          <w:p w14:paraId="4A7F5A1A" w14:textId="77777777" w:rsidR="00BA302C" w:rsidRPr="00FC3DAD" w:rsidRDefault="00BA302C" w:rsidP="00BE12A5">
            <w:pPr>
              <w:rPr>
                <w:b/>
                <w:bCs/>
              </w:rPr>
            </w:pPr>
          </w:p>
        </w:tc>
      </w:tr>
      <w:tr w:rsidR="00BA302C" w:rsidRPr="00BA302C" w14:paraId="693ACCDB" w14:textId="77777777" w:rsidTr="00BE12A5">
        <w:tc>
          <w:tcPr>
            <w:tcW w:w="9016" w:type="dxa"/>
            <w:gridSpan w:val="3"/>
            <w:vAlign w:val="center"/>
          </w:tcPr>
          <w:p w14:paraId="18C56EDD" w14:textId="77777777" w:rsidR="00BA302C" w:rsidRPr="00BA302C" w:rsidRDefault="00BA302C" w:rsidP="00BE12A5">
            <w:pPr>
              <w:rPr>
                <w:b/>
                <w:bCs/>
                <w:color w:val="1E69AA"/>
              </w:rPr>
            </w:pPr>
            <w:r>
              <w:rPr>
                <w:b/>
                <w:bCs/>
                <w:color w:val="1E69AA"/>
              </w:rPr>
              <w:t>Gestión de la Velocidad</w:t>
            </w:r>
          </w:p>
        </w:tc>
      </w:tr>
      <w:tr w:rsidR="00BA302C" w14:paraId="144A0EFE" w14:textId="77777777" w:rsidTr="00554DB6">
        <w:tc>
          <w:tcPr>
            <w:tcW w:w="2864" w:type="dxa"/>
            <w:vAlign w:val="center"/>
          </w:tcPr>
          <w:p w14:paraId="0FD1CCB9" w14:textId="77777777" w:rsidR="00BA302C" w:rsidRPr="001F1A7D" w:rsidRDefault="00BA302C" w:rsidP="00BE12A5">
            <w:r>
              <w:t>Exceso de velocidad</w:t>
            </w:r>
          </w:p>
        </w:tc>
        <w:tc>
          <w:tcPr>
            <w:tcW w:w="4897" w:type="dxa"/>
          </w:tcPr>
          <w:p w14:paraId="7EA77C8A" w14:textId="77777777" w:rsidR="00BA302C" w:rsidRPr="001F1A7D" w:rsidRDefault="00BA302C" w:rsidP="00BE12A5">
            <w:r>
              <w:t>Existe una política formal sobre la conducción dentro de los límites de velocidad y a una velocidad adecuada para las condiciones prevalecientes de la carretera (p. ej. en condiciones climáticas adversas), con una auditoría de seguimiento que cubre a todos los empleados, incluidos los conductores de la Flota Gris.</w:t>
            </w:r>
          </w:p>
        </w:tc>
        <w:tc>
          <w:tcPr>
            <w:tcW w:w="1255" w:type="dxa"/>
          </w:tcPr>
          <w:p w14:paraId="7A61C832" w14:textId="77777777" w:rsidR="00BA302C" w:rsidRPr="00FC3DAD" w:rsidRDefault="00BA302C" w:rsidP="00BE12A5">
            <w:pPr>
              <w:rPr>
                <w:b/>
                <w:bCs/>
              </w:rPr>
            </w:pPr>
          </w:p>
        </w:tc>
      </w:tr>
      <w:tr w:rsidR="00BA302C" w:rsidRPr="00BA302C" w14:paraId="12B3E4AA" w14:textId="77777777" w:rsidTr="00BE12A5">
        <w:tc>
          <w:tcPr>
            <w:tcW w:w="9016" w:type="dxa"/>
            <w:gridSpan w:val="3"/>
            <w:vAlign w:val="center"/>
          </w:tcPr>
          <w:p w14:paraId="782DDE3E" w14:textId="77777777" w:rsidR="00BA302C" w:rsidRPr="00BA302C" w:rsidRDefault="00BA302C" w:rsidP="00BE12A5">
            <w:pPr>
              <w:rPr>
                <w:b/>
                <w:bCs/>
                <w:color w:val="1E69AA"/>
              </w:rPr>
            </w:pPr>
            <w:r>
              <w:rPr>
                <w:b/>
                <w:bCs/>
                <w:color w:val="1E69AA"/>
              </w:rPr>
              <w:t>Gestión de Política</w:t>
            </w:r>
          </w:p>
        </w:tc>
      </w:tr>
      <w:tr w:rsidR="00BA302C" w14:paraId="0AC7DA8D" w14:textId="77777777" w:rsidTr="00554DB6">
        <w:tc>
          <w:tcPr>
            <w:tcW w:w="2864" w:type="dxa"/>
            <w:vAlign w:val="center"/>
          </w:tcPr>
          <w:p w14:paraId="1A581637" w14:textId="77777777" w:rsidR="00BA302C" w:rsidRPr="001F1A7D" w:rsidRDefault="00BA302C" w:rsidP="00BE12A5">
            <w:r>
              <w:t>Revisiones y actualizaciones</w:t>
            </w:r>
          </w:p>
        </w:tc>
        <w:tc>
          <w:tcPr>
            <w:tcW w:w="4897" w:type="dxa"/>
          </w:tcPr>
          <w:p w14:paraId="40590842" w14:textId="77777777" w:rsidR="00BA302C" w:rsidRPr="001F1A7D" w:rsidRDefault="00BA302C" w:rsidP="00BE12A5">
            <w:r>
              <w:t>Las políticas se revisan y actualizan anualmente para tener en cuenta los cambios en las prácticas operativas, la gestión de la seguridad vial, los cambios en la legislación y las iniciativas de mejora continua.</w:t>
            </w:r>
          </w:p>
        </w:tc>
        <w:tc>
          <w:tcPr>
            <w:tcW w:w="1255" w:type="dxa"/>
          </w:tcPr>
          <w:p w14:paraId="329EA25F" w14:textId="77777777" w:rsidR="00BA302C" w:rsidRPr="00FC3DAD" w:rsidRDefault="00BA302C" w:rsidP="00BE12A5">
            <w:pPr>
              <w:rPr>
                <w:b/>
                <w:bCs/>
              </w:rPr>
            </w:pPr>
          </w:p>
        </w:tc>
      </w:tr>
      <w:tr w:rsidR="00BA302C" w:rsidRPr="00BA302C" w14:paraId="245E575B" w14:textId="77777777" w:rsidTr="00BE12A5">
        <w:tc>
          <w:tcPr>
            <w:tcW w:w="9016" w:type="dxa"/>
            <w:gridSpan w:val="3"/>
            <w:vAlign w:val="center"/>
          </w:tcPr>
          <w:p w14:paraId="30180401" w14:textId="77777777" w:rsidR="00BA302C" w:rsidRPr="00BA302C" w:rsidRDefault="00BA302C" w:rsidP="00BE12A5">
            <w:pPr>
              <w:rPr>
                <w:b/>
                <w:bCs/>
                <w:color w:val="1E69AA"/>
              </w:rPr>
            </w:pPr>
            <w:r>
              <w:rPr>
                <w:b/>
                <w:bCs/>
                <w:color w:val="1E69AA"/>
              </w:rPr>
              <w:t>Gestión de la Flota Gris</w:t>
            </w:r>
          </w:p>
        </w:tc>
      </w:tr>
      <w:tr w:rsidR="00BA302C" w14:paraId="5ACE3429" w14:textId="77777777" w:rsidTr="00554DB6">
        <w:tc>
          <w:tcPr>
            <w:tcW w:w="2864" w:type="dxa"/>
            <w:vAlign w:val="center"/>
          </w:tcPr>
          <w:p w14:paraId="524A125A" w14:textId="77777777" w:rsidR="00BA302C" w:rsidRPr="001F1A7D" w:rsidRDefault="00BA302C" w:rsidP="00BE12A5">
            <w:r>
              <w:t>Objetivo</w:t>
            </w:r>
          </w:p>
        </w:tc>
        <w:tc>
          <w:tcPr>
            <w:tcW w:w="4897" w:type="dxa"/>
          </w:tcPr>
          <w:p w14:paraId="7EAEEDCB" w14:textId="773227DF" w:rsidR="00BA302C" w:rsidRPr="001F1A7D" w:rsidRDefault="00BA302C" w:rsidP="00BE12A5">
            <w:r>
              <w:t>O hay empleados que NUNCA viajan en vehículos que no sean propiedad o estén administrados por la empresa o TODOS los empleados que VIAJEN por carretera por objetivos de trabajo están sujetos a la política.</w:t>
            </w:r>
          </w:p>
        </w:tc>
        <w:tc>
          <w:tcPr>
            <w:tcW w:w="1255" w:type="dxa"/>
          </w:tcPr>
          <w:p w14:paraId="17E5828E" w14:textId="77777777" w:rsidR="00BA302C" w:rsidRPr="00FC3DAD" w:rsidRDefault="00BA302C" w:rsidP="00BE12A5">
            <w:pPr>
              <w:rPr>
                <w:b/>
                <w:bCs/>
              </w:rPr>
            </w:pPr>
          </w:p>
        </w:tc>
      </w:tr>
      <w:tr w:rsidR="00BA302C" w:rsidRPr="00BA302C" w14:paraId="1A8C0FC0" w14:textId="77777777" w:rsidTr="00BE12A5">
        <w:tc>
          <w:tcPr>
            <w:tcW w:w="9016" w:type="dxa"/>
            <w:gridSpan w:val="3"/>
            <w:vAlign w:val="center"/>
          </w:tcPr>
          <w:p w14:paraId="33B3FA0A" w14:textId="77777777" w:rsidR="00BA302C" w:rsidRPr="00BA302C" w:rsidRDefault="00BA302C" w:rsidP="00BE12A5">
            <w:pPr>
              <w:rPr>
                <w:b/>
                <w:bCs/>
                <w:color w:val="1E69AA"/>
              </w:rPr>
            </w:pPr>
            <w:r>
              <w:rPr>
                <w:b/>
                <w:bCs/>
                <w:color w:val="1E69AA"/>
              </w:rPr>
              <w:t>Revisión</w:t>
            </w:r>
          </w:p>
        </w:tc>
      </w:tr>
      <w:tr w:rsidR="00BA302C" w14:paraId="216A34F5" w14:textId="77777777" w:rsidTr="00554DB6">
        <w:tc>
          <w:tcPr>
            <w:tcW w:w="2864" w:type="dxa"/>
            <w:vAlign w:val="center"/>
          </w:tcPr>
          <w:p w14:paraId="0A45027C" w14:textId="77777777" w:rsidR="00BA302C" w:rsidRPr="001F1A7D" w:rsidRDefault="00BA302C" w:rsidP="00BE12A5">
            <w:r>
              <w:t>Auditoría de seguimiento</w:t>
            </w:r>
          </w:p>
        </w:tc>
        <w:tc>
          <w:tcPr>
            <w:tcW w:w="4897" w:type="dxa"/>
          </w:tcPr>
          <w:p w14:paraId="147CF856" w14:textId="77777777" w:rsidR="00BA302C" w:rsidRPr="001F1A7D" w:rsidRDefault="00BA302C" w:rsidP="00BE12A5">
            <w:r>
              <w:t>Existe una auditoría de seguimiento para TODAS las políticas para demostrar que se están siguiendo y que son efectivas.</w:t>
            </w:r>
          </w:p>
        </w:tc>
        <w:tc>
          <w:tcPr>
            <w:tcW w:w="1255" w:type="dxa"/>
          </w:tcPr>
          <w:p w14:paraId="194FB1F1" w14:textId="77777777" w:rsidR="00BA302C" w:rsidRPr="00FC3DAD" w:rsidRDefault="00BA302C" w:rsidP="00BE12A5">
            <w:pPr>
              <w:rPr>
                <w:b/>
                <w:bCs/>
              </w:rPr>
            </w:pPr>
          </w:p>
        </w:tc>
      </w:tr>
      <w:tr w:rsidR="00BA302C" w14:paraId="44B4DDEA" w14:textId="77777777" w:rsidTr="00BE12A5">
        <w:tc>
          <w:tcPr>
            <w:tcW w:w="9016" w:type="dxa"/>
            <w:gridSpan w:val="3"/>
            <w:vAlign w:val="center"/>
          </w:tcPr>
          <w:p w14:paraId="027E5CA5" w14:textId="77777777" w:rsidR="00BA302C" w:rsidRPr="00FC3DAD" w:rsidRDefault="00BA302C" w:rsidP="00BE12A5">
            <w:pPr>
              <w:rPr>
                <w:b/>
                <w:bCs/>
              </w:rPr>
            </w:pPr>
          </w:p>
        </w:tc>
      </w:tr>
      <w:tr w:rsidR="00BA302C" w:rsidRPr="00BA302C" w14:paraId="72AD2953" w14:textId="77777777" w:rsidTr="00BA302C">
        <w:trPr>
          <w:trHeight w:val="567"/>
        </w:trPr>
        <w:tc>
          <w:tcPr>
            <w:tcW w:w="9016" w:type="dxa"/>
            <w:gridSpan w:val="3"/>
            <w:shd w:val="clear" w:color="auto" w:fill="1B8C89"/>
            <w:vAlign w:val="center"/>
          </w:tcPr>
          <w:p w14:paraId="69B227C9" w14:textId="77777777" w:rsidR="00BA302C" w:rsidRPr="00BA302C" w:rsidRDefault="00BA302C" w:rsidP="00BE12A5">
            <w:pPr>
              <w:jc w:val="center"/>
              <w:rPr>
                <w:b/>
                <w:bCs/>
                <w:color w:val="FFFFFF" w:themeColor="background1"/>
              </w:rPr>
            </w:pPr>
            <w:r>
              <w:rPr>
                <w:b/>
                <w:bCs/>
                <w:color w:val="FFFFFF" w:themeColor="background1"/>
                <w:sz w:val="28"/>
                <w:szCs w:val="28"/>
              </w:rPr>
              <w:lastRenderedPageBreak/>
              <w:t>Evaluar</w:t>
            </w:r>
          </w:p>
        </w:tc>
      </w:tr>
      <w:tr w:rsidR="00BA302C" w14:paraId="44C2CD01" w14:textId="77777777" w:rsidTr="00554DB6">
        <w:tc>
          <w:tcPr>
            <w:tcW w:w="2864" w:type="dxa"/>
            <w:vAlign w:val="center"/>
          </w:tcPr>
          <w:p w14:paraId="78175726" w14:textId="77777777" w:rsidR="00BA302C" w:rsidRPr="00D46E3B" w:rsidRDefault="00BA302C" w:rsidP="00BE12A5">
            <w:r>
              <w:rPr>
                <w:b/>
                <w:bCs/>
              </w:rPr>
              <w:t>Tema</w:t>
            </w:r>
          </w:p>
        </w:tc>
        <w:tc>
          <w:tcPr>
            <w:tcW w:w="4897" w:type="dxa"/>
          </w:tcPr>
          <w:p w14:paraId="327752B4" w14:textId="77777777" w:rsidR="00BA302C" w:rsidRPr="00D46E3B" w:rsidRDefault="00BA302C" w:rsidP="00BE12A5">
            <w:r>
              <w:rPr>
                <w:b/>
                <w:bCs/>
              </w:rPr>
              <w:t>Detalle</w:t>
            </w:r>
          </w:p>
        </w:tc>
        <w:tc>
          <w:tcPr>
            <w:tcW w:w="1255" w:type="dxa"/>
          </w:tcPr>
          <w:p w14:paraId="26AC8DA5" w14:textId="77777777" w:rsidR="00BA302C" w:rsidRPr="00FC3DAD" w:rsidRDefault="00BA302C" w:rsidP="00BE12A5">
            <w:pPr>
              <w:rPr>
                <w:b/>
                <w:bCs/>
              </w:rPr>
            </w:pPr>
            <w:r>
              <w:rPr>
                <w:b/>
                <w:bCs/>
              </w:rPr>
              <w:t>Puntuación</w:t>
            </w:r>
          </w:p>
        </w:tc>
      </w:tr>
      <w:tr w:rsidR="00BA302C" w:rsidRPr="00BA302C" w14:paraId="20023B94" w14:textId="77777777" w:rsidTr="00BE12A5">
        <w:tc>
          <w:tcPr>
            <w:tcW w:w="9016" w:type="dxa"/>
            <w:gridSpan w:val="3"/>
            <w:vAlign w:val="center"/>
          </w:tcPr>
          <w:p w14:paraId="003F85F2" w14:textId="22C54A15" w:rsidR="00BA302C" w:rsidRPr="00BA302C" w:rsidRDefault="00BA302C" w:rsidP="00BE12A5">
            <w:pPr>
              <w:rPr>
                <w:b/>
                <w:bCs/>
                <w:color w:val="1E69AA"/>
              </w:rPr>
            </w:pPr>
            <w:r>
              <w:rPr>
                <w:b/>
                <w:bCs/>
                <w:color w:val="1E69AA"/>
              </w:rPr>
              <w:t>Evaluación de riesgo</w:t>
            </w:r>
            <w:r w:rsidR="00A36053">
              <w:rPr>
                <w:b/>
                <w:bCs/>
                <w:color w:val="1E69AA"/>
              </w:rPr>
              <w:t>s</w:t>
            </w:r>
          </w:p>
        </w:tc>
      </w:tr>
      <w:tr w:rsidR="00BA302C" w14:paraId="13313353" w14:textId="77777777" w:rsidTr="00554DB6">
        <w:tc>
          <w:tcPr>
            <w:tcW w:w="2864" w:type="dxa"/>
            <w:vAlign w:val="center"/>
          </w:tcPr>
          <w:p w14:paraId="10B46C1F" w14:textId="77777777" w:rsidR="00BA302C" w:rsidRPr="00D46E3B" w:rsidRDefault="00BA302C" w:rsidP="00BE12A5">
            <w:r>
              <w:t>Para todos los conductores</w:t>
            </w:r>
          </w:p>
        </w:tc>
        <w:tc>
          <w:tcPr>
            <w:tcW w:w="4897" w:type="dxa"/>
          </w:tcPr>
          <w:p w14:paraId="74A48A78" w14:textId="77777777" w:rsidR="00BA302C" w:rsidRPr="00D46E3B" w:rsidRDefault="00BA302C" w:rsidP="00BE12A5">
            <w:r>
              <w:t>Se evalúan los riesgos para todos los conductores que conduzcan alguna vez por motivos de trabajo, incluyendo a los conductores de flota gris.</w:t>
            </w:r>
          </w:p>
        </w:tc>
        <w:tc>
          <w:tcPr>
            <w:tcW w:w="1255" w:type="dxa"/>
          </w:tcPr>
          <w:p w14:paraId="67611A0C" w14:textId="77777777" w:rsidR="00BA302C" w:rsidRPr="00FC3DAD" w:rsidRDefault="00BA302C" w:rsidP="00BE12A5">
            <w:pPr>
              <w:rPr>
                <w:b/>
                <w:bCs/>
              </w:rPr>
            </w:pPr>
          </w:p>
        </w:tc>
      </w:tr>
      <w:tr w:rsidR="00BA302C" w:rsidRPr="00BA302C" w14:paraId="22DCF057" w14:textId="77777777" w:rsidTr="00BE12A5">
        <w:tc>
          <w:tcPr>
            <w:tcW w:w="9016" w:type="dxa"/>
            <w:gridSpan w:val="3"/>
            <w:vAlign w:val="center"/>
          </w:tcPr>
          <w:p w14:paraId="618ABF62" w14:textId="77777777" w:rsidR="00BA302C" w:rsidRPr="00BA302C" w:rsidRDefault="00BA302C" w:rsidP="00BE12A5">
            <w:pPr>
              <w:rPr>
                <w:b/>
                <w:bCs/>
                <w:color w:val="1E69AA"/>
              </w:rPr>
            </w:pPr>
            <w:r>
              <w:rPr>
                <w:b/>
                <w:bCs/>
                <w:color w:val="1E69AA"/>
              </w:rPr>
              <w:t>Verificaciones del Permiso de Conducir</w:t>
            </w:r>
          </w:p>
        </w:tc>
      </w:tr>
      <w:tr w:rsidR="00BA302C" w14:paraId="311E8D24" w14:textId="77777777" w:rsidTr="00554DB6">
        <w:tc>
          <w:tcPr>
            <w:tcW w:w="2864" w:type="dxa"/>
            <w:vAlign w:val="center"/>
          </w:tcPr>
          <w:p w14:paraId="10FCF600" w14:textId="77777777" w:rsidR="00BA302C" w:rsidRPr="00D46E3B" w:rsidRDefault="00BA302C" w:rsidP="00BE12A5">
            <w:r>
              <w:t>Todos los permisos de conducir se verifican.</w:t>
            </w:r>
          </w:p>
        </w:tc>
        <w:tc>
          <w:tcPr>
            <w:tcW w:w="4897" w:type="dxa"/>
          </w:tcPr>
          <w:p w14:paraId="537620E9" w14:textId="77777777" w:rsidR="00BA302C" w:rsidRPr="00D46E3B" w:rsidRDefault="00BA302C" w:rsidP="00BE12A5">
            <w:r>
              <w:t>Se verifican los permisos de conducir de todos los conductores, incluidos los conductores de vehículos de la Flota Gris, para asegurarse de que están en vigor y son válidos mientras se conduce el vehículo.</w:t>
            </w:r>
          </w:p>
        </w:tc>
        <w:tc>
          <w:tcPr>
            <w:tcW w:w="1255" w:type="dxa"/>
          </w:tcPr>
          <w:p w14:paraId="75D96C59" w14:textId="77777777" w:rsidR="00BA302C" w:rsidRPr="00FC3DAD" w:rsidRDefault="00BA302C" w:rsidP="00BE12A5">
            <w:pPr>
              <w:rPr>
                <w:b/>
                <w:bCs/>
              </w:rPr>
            </w:pPr>
          </w:p>
        </w:tc>
      </w:tr>
      <w:tr w:rsidR="00BA302C" w14:paraId="7670D72E" w14:textId="77777777" w:rsidTr="00BE12A5">
        <w:tc>
          <w:tcPr>
            <w:tcW w:w="9016" w:type="dxa"/>
            <w:gridSpan w:val="3"/>
            <w:vAlign w:val="center"/>
          </w:tcPr>
          <w:p w14:paraId="7C196CD3" w14:textId="77777777" w:rsidR="00BA302C" w:rsidRPr="00FC3DAD" w:rsidRDefault="00BA302C" w:rsidP="00BE12A5">
            <w:pPr>
              <w:rPr>
                <w:b/>
                <w:bCs/>
              </w:rPr>
            </w:pPr>
          </w:p>
        </w:tc>
      </w:tr>
      <w:tr w:rsidR="00BA302C" w:rsidRPr="00BA302C" w14:paraId="1AF48D00" w14:textId="77777777" w:rsidTr="00BA302C">
        <w:trPr>
          <w:trHeight w:val="567"/>
        </w:trPr>
        <w:tc>
          <w:tcPr>
            <w:tcW w:w="9016" w:type="dxa"/>
            <w:gridSpan w:val="3"/>
            <w:shd w:val="clear" w:color="auto" w:fill="1B8C89"/>
            <w:vAlign w:val="center"/>
          </w:tcPr>
          <w:p w14:paraId="61FBFBB7" w14:textId="77777777" w:rsidR="00BA302C" w:rsidRPr="00BA302C" w:rsidRDefault="00BA302C" w:rsidP="00BE12A5">
            <w:pPr>
              <w:jc w:val="center"/>
              <w:rPr>
                <w:b/>
                <w:bCs/>
                <w:color w:val="FFFFFF" w:themeColor="background1"/>
              </w:rPr>
            </w:pPr>
            <w:r>
              <w:rPr>
                <w:b/>
                <w:bCs/>
                <w:color w:val="FFFFFF" w:themeColor="background1"/>
                <w:sz w:val="28"/>
                <w:szCs w:val="28"/>
              </w:rPr>
              <w:t>Control</w:t>
            </w:r>
          </w:p>
        </w:tc>
      </w:tr>
      <w:tr w:rsidR="00BA302C" w14:paraId="2EE5ED3F" w14:textId="77777777" w:rsidTr="00554DB6">
        <w:tc>
          <w:tcPr>
            <w:tcW w:w="2864" w:type="dxa"/>
            <w:vAlign w:val="center"/>
          </w:tcPr>
          <w:p w14:paraId="32D1F398" w14:textId="77777777" w:rsidR="00BA302C" w:rsidRPr="00D46E3B" w:rsidRDefault="00BA302C" w:rsidP="00BE12A5">
            <w:r>
              <w:rPr>
                <w:b/>
                <w:bCs/>
              </w:rPr>
              <w:t>Tema</w:t>
            </w:r>
          </w:p>
        </w:tc>
        <w:tc>
          <w:tcPr>
            <w:tcW w:w="4897" w:type="dxa"/>
          </w:tcPr>
          <w:p w14:paraId="3B7AE9B5" w14:textId="77777777" w:rsidR="00BA302C" w:rsidRPr="00D46E3B" w:rsidRDefault="00BA302C" w:rsidP="00BE12A5">
            <w:r>
              <w:rPr>
                <w:b/>
                <w:bCs/>
              </w:rPr>
              <w:t>Detalle</w:t>
            </w:r>
          </w:p>
        </w:tc>
        <w:tc>
          <w:tcPr>
            <w:tcW w:w="1255" w:type="dxa"/>
          </w:tcPr>
          <w:p w14:paraId="75649646" w14:textId="77777777" w:rsidR="00BA302C" w:rsidRPr="00FC3DAD" w:rsidRDefault="00BA302C" w:rsidP="00BE12A5">
            <w:pPr>
              <w:rPr>
                <w:b/>
                <w:bCs/>
              </w:rPr>
            </w:pPr>
            <w:r>
              <w:rPr>
                <w:b/>
                <w:bCs/>
              </w:rPr>
              <w:t>Puntuación</w:t>
            </w:r>
          </w:p>
        </w:tc>
      </w:tr>
      <w:tr w:rsidR="00BA302C" w:rsidRPr="00BA302C" w14:paraId="263F2DEF" w14:textId="77777777" w:rsidTr="00BE12A5">
        <w:tc>
          <w:tcPr>
            <w:tcW w:w="9016" w:type="dxa"/>
            <w:gridSpan w:val="3"/>
            <w:vAlign w:val="center"/>
          </w:tcPr>
          <w:p w14:paraId="45CB606E" w14:textId="77777777" w:rsidR="00BA302C" w:rsidRPr="00BA302C" w:rsidRDefault="00BA302C" w:rsidP="00BE12A5">
            <w:pPr>
              <w:rPr>
                <w:b/>
                <w:bCs/>
                <w:color w:val="1E69AA"/>
              </w:rPr>
            </w:pPr>
            <w:r>
              <w:rPr>
                <w:b/>
                <w:bCs/>
                <w:color w:val="1E69AA"/>
              </w:rPr>
              <w:t>Intervenciones del Conductor</w:t>
            </w:r>
          </w:p>
        </w:tc>
      </w:tr>
      <w:tr w:rsidR="00BA302C" w14:paraId="68BC6064" w14:textId="77777777" w:rsidTr="00554DB6">
        <w:tc>
          <w:tcPr>
            <w:tcW w:w="2864" w:type="dxa"/>
            <w:vAlign w:val="center"/>
          </w:tcPr>
          <w:p w14:paraId="60D1F8B9" w14:textId="77777777" w:rsidR="00BA302C" w:rsidRPr="00D46E3B" w:rsidRDefault="00BA302C" w:rsidP="00BE12A5">
            <w:r>
              <w:t>¿Qué intervenciones existen?</w:t>
            </w:r>
          </w:p>
        </w:tc>
        <w:tc>
          <w:tcPr>
            <w:tcW w:w="4897" w:type="dxa"/>
          </w:tcPr>
          <w:p w14:paraId="723FB54F" w14:textId="0BA6EF8E" w:rsidR="00BA302C" w:rsidRPr="00D46E3B" w:rsidRDefault="00BA302C" w:rsidP="00BE12A5">
            <w:r>
              <w:t>Una combinación de</w:t>
            </w:r>
            <w:r w:rsidR="00A36053">
              <w:t xml:space="preserve">: </w:t>
            </w:r>
            <w:r>
              <w:t>en el vehículo, en el aula y en línea, en función de la necesidad identificada por los datos de evaluación (evaluaciones de riesgos, informes de colisión, datos de telemetría de comportamiento del conductor y verificaciones de permisos conducir).</w:t>
            </w:r>
          </w:p>
        </w:tc>
        <w:tc>
          <w:tcPr>
            <w:tcW w:w="1255" w:type="dxa"/>
          </w:tcPr>
          <w:p w14:paraId="111B8B51" w14:textId="77777777" w:rsidR="00BA302C" w:rsidRPr="00FC3DAD" w:rsidRDefault="00BA302C" w:rsidP="00BE12A5">
            <w:pPr>
              <w:rPr>
                <w:b/>
                <w:bCs/>
              </w:rPr>
            </w:pPr>
          </w:p>
        </w:tc>
      </w:tr>
      <w:tr w:rsidR="00BA302C" w14:paraId="05FA72F1" w14:textId="77777777" w:rsidTr="00BE12A5">
        <w:tc>
          <w:tcPr>
            <w:tcW w:w="9016" w:type="dxa"/>
            <w:gridSpan w:val="3"/>
            <w:vAlign w:val="center"/>
          </w:tcPr>
          <w:p w14:paraId="1DCABE7D" w14:textId="77777777" w:rsidR="00BA302C" w:rsidRPr="00FC3DAD" w:rsidRDefault="00BA302C" w:rsidP="00BE12A5">
            <w:pPr>
              <w:rPr>
                <w:b/>
                <w:bCs/>
              </w:rPr>
            </w:pPr>
          </w:p>
        </w:tc>
      </w:tr>
      <w:tr w:rsidR="00BA302C" w:rsidRPr="00BA302C" w14:paraId="60FC28F2" w14:textId="77777777" w:rsidTr="00BA302C">
        <w:trPr>
          <w:trHeight w:val="567"/>
        </w:trPr>
        <w:tc>
          <w:tcPr>
            <w:tcW w:w="9016" w:type="dxa"/>
            <w:gridSpan w:val="3"/>
            <w:shd w:val="clear" w:color="auto" w:fill="1B8C89"/>
            <w:vAlign w:val="center"/>
          </w:tcPr>
          <w:p w14:paraId="74183D7F" w14:textId="77777777" w:rsidR="00BA302C" w:rsidRPr="00BA302C" w:rsidRDefault="00BA302C" w:rsidP="00BE12A5">
            <w:pPr>
              <w:jc w:val="center"/>
              <w:rPr>
                <w:b/>
                <w:bCs/>
                <w:color w:val="FFFFFF" w:themeColor="background1"/>
              </w:rPr>
            </w:pPr>
            <w:r>
              <w:rPr>
                <w:b/>
                <w:bCs/>
                <w:color w:val="FFFFFF" w:themeColor="background1"/>
                <w:sz w:val="28"/>
                <w:szCs w:val="28"/>
              </w:rPr>
              <w:t>Medida</w:t>
            </w:r>
          </w:p>
        </w:tc>
      </w:tr>
      <w:tr w:rsidR="00BA302C" w14:paraId="6160AEAC" w14:textId="77777777" w:rsidTr="00554DB6">
        <w:tc>
          <w:tcPr>
            <w:tcW w:w="2864" w:type="dxa"/>
            <w:vAlign w:val="center"/>
          </w:tcPr>
          <w:p w14:paraId="44BBB6D6" w14:textId="77777777" w:rsidR="00BA302C" w:rsidRPr="00820E57" w:rsidRDefault="00BA302C" w:rsidP="00BE12A5">
            <w:r>
              <w:rPr>
                <w:b/>
                <w:bCs/>
              </w:rPr>
              <w:t>Tema</w:t>
            </w:r>
          </w:p>
        </w:tc>
        <w:tc>
          <w:tcPr>
            <w:tcW w:w="4897" w:type="dxa"/>
          </w:tcPr>
          <w:p w14:paraId="7062114C" w14:textId="77777777" w:rsidR="00BA302C" w:rsidRPr="00820E57" w:rsidRDefault="00BA302C" w:rsidP="00BE12A5">
            <w:r>
              <w:rPr>
                <w:b/>
                <w:bCs/>
              </w:rPr>
              <w:t>Detalle</w:t>
            </w:r>
          </w:p>
        </w:tc>
        <w:tc>
          <w:tcPr>
            <w:tcW w:w="1255" w:type="dxa"/>
          </w:tcPr>
          <w:p w14:paraId="7D3E7D7A" w14:textId="77777777" w:rsidR="00BA302C" w:rsidRPr="00FC3DAD" w:rsidRDefault="00BA302C" w:rsidP="00BE12A5">
            <w:pPr>
              <w:rPr>
                <w:b/>
                <w:bCs/>
              </w:rPr>
            </w:pPr>
            <w:r>
              <w:rPr>
                <w:b/>
                <w:bCs/>
              </w:rPr>
              <w:t>Puntuación</w:t>
            </w:r>
          </w:p>
        </w:tc>
      </w:tr>
      <w:tr w:rsidR="00BA302C" w:rsidRPr="00BA302C" w14:paraId="6059051C" w14:textId="77777777" w:rsidTr="00BE12A5">
        <w:tc>
          <w:tcPr>
            <w:tcW w:w="9016" w:type="dxa"/>
            <w:gridSpan w:val="3"/>
            <w:vAlign w:val="center"/>
          </w:tcPr>
          <w:p w14:paraId="5519F857" w14:textId="77777777" w:rsidR="00BA302C" w:rsidRPr="00BA302C" w:rsidRDefault="00BA302C" w:rsidP="00BE12A5">
            <w:pPr>
              <w:rPr>
                <w:b/>
                <w:bCs/>
                <w:color w:val="1E69AA"/>
              </w:rPr>
            </w:pPr>
            <w:r>
              <w:rPr>
                <w:b/>
                <w:bCs/>
                <w:color w:val="1E69AA"/>
              </w:rPr>
              <w:t>Gestión de accidentes</w:t>
            </w:r>
          </w:p>
        </w:tc>
      </w:tr>
      <w:tr w:rsidR="00BA302C" w14:paraId="4470FB5E" w14:textId="77777777" w:rsidTr="00554DB6">
        <w:tc>
          <w:tcPr>
            <w:tcW w:w="2864" w:type="dxa"/>
            <w:vAlign w:val="center"/>
          </w:tcPr>
          <w:p w14:paraId="5225E567" w14:textId="77777777" w:rsidR="00BA302C" w:rsidRPr="00820E57" w:rsidRDefault="00BA302C" w:rsidP="00BE12A5">
            <w:r>
              <w:t>Costes directos</w:t>
            </w:r>
          </w:p>
        </w:tc>
        <w:tc>
          <w:tcPr>
            <w:tcW w:w="4897" w:type="dxa"/>
          </w:tcPr>
          <w:p w14:paraId="12DE7F48" w14:textId="77777777" w:rsidR="00BA302C" w:rsidRPr="00820E57" w:rsidRDefault="00BA302C" w:rsidP="00BE12A5">
            <w:r>
              <w:t>Todos los interesados conocen y entienden todos los costes de seguro, y cualquier coste por debajo del deducible (por debajo del exceso de seguro) asociados con incidentes de conducción. Esto ayuda a garantizar que todos entiendan las implicaciones completas para el negocio de un accidente.</w:t>
            </w:r>
          </w:p>
        </w:tc>
        <w:tc>
          <w:tcPr>
            <w:tcW w:w="1255" w:type="dxa"/>
          </w:tcPr>
          <w:p w14:paraId="7CC59EFB" w14:textId="77777777" w:rsidR="00BA302C" w:rsidRPr="00FC3DAD" w:rsidRDefault="00BA302C" w:rsidP="00BE12A5">
            <w:pPr>
              <w:rPr>
                <w:b/>
                <w:bCs/>
              </w:rPr>
            </w:pPr>
          </w:p>
        </w:tc>
      </w:tr>
      <w:tr w:rsidR="00BA302C" w:rsidRPr="00BA302C" w14:paraId="607F0A4D" w14:textId="77777777" w:rsidTr="00BE12A5">
        <w:tc>
          <w:tcPr>
            <w:tcW w:w="9016" w:type="dxa"/>
            <w:gridSpan w:val="3"/>
            <w:vAlign w:val="center"/>
          </w:tcPr>
          <w:p w14:paraId="3D682C7A" w14:textId="77777777" w:rsidR="00BA302C" w:rsidRPr="00BA302C" w:rsidRDefault="00BA302C" w:rsidP="00BE12A5">
            <w:pPr>
              <w:rPr>
                <w:b/>
                <w:bCs/>
                <w:color w:val="1E69AA"/>
              </w:rPr>
            </w:pPr>
            <w:r>
              <w:rPr>
                <w:b/>
                <w:bCs/>
                <w:color w:val="1E69AA"/>
              </w:rPr>
              <w:t>Indicadores Clave de Rendimiento</w:t>
            </w:r>
          </w:p>
        </w:tc>
      </w:tr>
      <w:tr w:rsidR="00BA302C" w14:paraId="625F7C63" w14:textId="77777777" w:rsidTr="00554DB6">
        <w:tc>
          <w:tcPr>
            <w:tcW w:w="2864" w:type="dxa"/>
            <w:vAlign w:val="center"/>
          </w:tcPr>
          <w:p w14:paraId="04BB1ED7" w14:textId="77777777" w:rsidR="00BA302C" w:rsidRPr="00820E57" w:rsidRDefault="00BA302C" w:rsidP="00BE12A5">
            <w:r>
              <w:t>Indicadores rezagados</w:t>
            </w:r>
          </w:p>
        </w:tc>
        <w:tc>
          <w:tcPr>
            <w:tcW w:w="4897" w:type="dxa"/>
          </w:tcPr>
          <w:p w14:paraId="199AE30B" w14:textId="77777777" w:rsidR="00BA302C" w:rsidRPr="00820E57" w:rsidRDefault="00BA302C" w:rsidP="00BE12A5">
            <w:r>
              <w:t>Los indicadores rezagados, incluidos los accidentes por millón de millas (CPMM), los costes de accidentes, el coste de mantenimiento y la cantidad de infracciones de conducción, son conocidos por todos los conductores, incluidos los empleados que conducen vehículos de la Flota Gris, se registran mensualmente y son conocidos y entendidos por todos los interesados.</w:t>
            </w:r>
          </w:p>
        </w:tc>
        <w:tc>
          <w:tcPr>
            <w:tcW w:w="1255" w:type="dxa"/>
          </w:tcPr>
          <w:p w14:paraId="6604D4AA" w14:textId="77777777" w:rsidR="00BA302C" w:rsidRPr="00FC3DAD" w:rsidRDefault="00BA302C" w:rsidP="00BE12A5">
            <w:pPr>
              <w:rPr>
                <w:b/>
                <w:bCs/>
              </w:rPr>
            </w:pPr>
          </w:p>
        </w:tc>
      </w:tr>
      <w:tr w:rsidR="00BA302C" w:rsidRPr="00BA302C" w14:paraId="4F906151" w14:textId="77777777" w:rsidTr="00BE12A5">
        <w:tc>
          <w:tcPr>
            <w:tcW w:w="9016" w:type="dxa"/>
            <w:gridSpan w:val="3"/>
            <w:vAlign w:val="center"/>
          </w:tcPr>
          <w:p w14:paraId="0433BAC2" w14:textId="77777777" w:rsidR="00BA302C" w:rsidRPr="00BA302C" w:rsidRDefault="00BA302C" w:rsidP="00BE12A5">
            <w:pPr>
              <w:rPr>
                <w:b/>
                <w:bCs/>
                <w:color w:val="1E69AA"/>
              </w:rPr>
            </w:pPr>
            <w:r>
              <w:rPr>
                <w:b/>
                <w:bCs/>
                <w:color w:val="1E69AA"/>
              </w:rPr>
              <w:t>Informes de Accidentes</w:t>
            </w:r>
          </w:p>
        </w:tc>
      </w:tr>
      <w:tr w:rsidR="00BA302C" w14:paraId="3D9E31C4" w14:textId="77777777" w:rsidTr="00554DB6">
        <w:tc>
          <w:tcPr>
            <w:tcW w:w="2864" w:type="dxa"/>
            <w:vAlign w:val="center"/>
          </w:tcPr>
          <w:p w14:paraId="70F24D25" w14:textId="77777777" w:rsidR="00BA302C" w:rsidRPr="00820E57" w:rsidRDefault="00BA302C" w:rsidP="00BE12A5">
            <w:r>
              <w:t>Informe del conductor</w:t>
            </w:r>
          </w:p>
        </w:tc>
        <w:tc>
          <w:tcPr>
            <w:tcW w:w="4897" w:type="dxa"/>
          </w:tcPr>
          <w:p w14:paraId="1A8673CA" w14:textId="77777777" w:rsidR="00BA302C" w:rsidRPr="00820E57" w:rsidRDefault="00BA302C" w:rsidP="00BE12A5">
            <w:r>
              <w:t>El conductor registra los datos completos, incluyendo fotografías, para cada incidente e informa a las aseguradoras inmediatamente y al Superiores Inmediato en 24 horas.</w:t>
            </w:r>
          </w:p>
        </w:tc>
        <w:tc>
          <w:tcPr>
            <w:tcW w:w="1255" w:type="dxa"/>
          </w:tcPr>
          <w:p w14:paraId="3314BCDD" w14:textId="77777777" w:rsidR="00BA302C" w:rsidRPr="00FC3DAD" w:rsidRDefault="00BA302C" w:rsidP="00BE12A5">
            <w:pPr>
              <w:rPr>
                <w:b/>
                <w:bCs/>
              </w:rPr>
            </w:pPr>
          </w:p>
        </w:tc>
      </w:tr>
      <w:tr w:rsidR="00BA302C" w14:paraId="5804AF7E" w14:textId="77777777" w:rsidTr="00554DB6">
        <w:tc>
          <w:tcPr>
            <w:tcW w:w="2864" w:type="dxa"/>
            <w:vAlign w:val="center"/>
          </w:tcPr>
          <w:p w14:paraId="78E810FB" w14:textId="77777777" w:rsidR="00BA302C" w:rsidRPr="00820E57" w:rsidRDefault="00BA302C" w:rsidP="00BE12A5">
            <w:r>
              <w:t>Fichas de accidentes</w:t>
            </w:r>
          </w:p>
        </w:tc>
        <w:tc>
          <w:tcPr>
            <w:tcW w:w="4897" w:type="dxa"/>
          </w:tcPr>
          <w:p w14:paraId="79E052C8" w14:textId="77777777" w:rsidR="00BA302C" w:rsidRPr="00820E57" w:rsidRDefault="00BA302C" w:rsidP="00BE12A5">
            <w:r>
              <w:t xml:space="preserve">Todos los conductores, incluidos los empleados que conducen vehículos de la Flota Gris, tienen una </w:t>
            </w:r>
            <w:r>
              <w:lastRenderedPageBreak/>
              <w:t>ficha de accidentes completa o equivalente, que cubre todos los detalles que serán útiles en el análisis posterior de la causa raíz, así como lo requieren las aseguradoras, para permitir que todos los detalles del incidente se registren de forma sistemática.  Hay evidencia de que estas se completan en su totalidad después de cada incidente.</w:t>
            </w:r>
          </w:p>
        </w:tc>
        <w:tc>
          <w:tcPr>
            <w:tcW w:w="1255" w:type="dxa"/>
          </w:tcPr>
          <w:p w14:paraId="2DD4CE8C" w14:textId="77777777" w:rsidR="00BA302C" w:rsidRPr="00FC3DAD" w:rsidRDefault="00BA302C" w:rsidP="00BE12A5">
            <w:pPr>
              <w:rPr>
                <w:b/>
                <w:bCs/>
              </w:rPr>
            </w:pPr>
          </w:p>
        </w:tc>
      </w:tr>
      <w:tr w:rsidR="00BA302C" w:rsidRPr="00BA302C" w14:paraId="4FAC336B" w14:textId="77777777" w:rsidTr="00BE12A5">
        <w:tc>
          <w:tcPr>
            <w:tcW w:w="9016" w:type="dxa"/>
            <w:gridSpan w:val="3"/>
            <w:vAlign w:val="center"/>
          </w:tcPr>
          <w:p w14:paraId="46CD5E6C" w14:textId="77777777" w:rsidR="00BA302C" w:rsidRPr="00BA302C" w:rsidRDefault="00BA302C" w:rsidP="00BE12A5">
            <w:pPr>
              <w:rPr>
                <w:b/>
                <w:bCs/>
                <w:color w:val="1E69AA"/>
              </w:rPr>
            </w:pPr>
            <w:r>
              <w:rPr>
                <w:b/>
                <w:bCs/>
                <w:color w:val="1E69AA"/>
              </w:rPr>
              <w:lastRenderedPageBreak/>
              <w:t>Informes de Gestión</w:t>
            </w:r>
          </w:p>
        </w:tc>
      </w:tr>
      <w:tr w:rsidR="00BA302C" w14:paraId="27282DC3" w14:textId="77777777" w:rsidTr="00554DB6">
        <w:tc>
          <w:tcPr>
            <w:tcW w:w="2864" w:type="dxa"/>
            <w:vAlign w:val="center"/>
          </w:tcPr>
          <w:p w14:paraId="1C3D7613" w14:textId="77777777" w:rsidR="00BA302C" w:rsidRPr="00820E57" w:rsidRDefault="00BA302C" w:rsidP="00BE12A5">
            <w:r>
              <w:t>Visibilidad para la alta gerencia</w:t>
            </w:r>
          </w:p>
        </w:tc>
        <w:tc>
          <w:tcPr>
            <w:tcW w:w="4897" w:type="dxa"/>
          </w:tcPr>
          <w:p w14:paraId="7CE78772" w14:textId="77777777" w:rsidR="00BA302C" w:rsidRPr="00820E57" w:rsidRDefault="00BA302C" w:rsidP="00BE12A5">
            <w:r>
              <w:t>Todos los Indicadores Clave de Rendimiento del programa de gestión de riesgos viales relacionados con el trabajo se distribuyen a todos los gerentes principales al menos mensualmente.</w:t>
            </w:r>
          </w:p>
        </w:tc>
        <w:tc>
          <w:tcPr>
            <w:tcW w:w="1255" w:type="dxa"/>
          </w:tcPr>
          <w:p w14:paraId="59442ABB" w14:textId="77777777" w:rsidR="00BA302C" w:rsidRPr="00FC3DAD" w:rsidRDefault="00BA302C" w:rsidP="00BE12A5">
            <w:pPr>
              <w:rPr>
                <w:b/>
                <w:bCs/>
              </w:rPr>
            </w:pPr>
          </w:p>
        </w:tc>
      </w:tr>
      <w:tr w:rsidR="00BA302C" w14:paraId="32026DD8" w14:textId="77777777" w:rsidTr="00BE12A5">
        <w:tc>
          <w:tcPr>
            <w:tcW w:w="9016" w:type="dxa"/>
            <w:gridSpan w:val="3"/>
            <w:vAlign w:val="center"/>
          </w:tcPr>
          <w:p w14:paraId="4B7065E9" w14:textId="77777777" w:rsidR="00BA302C" w:rsidRPr="00FC3DAD" w:rsidRDefault="00BA302C" w:rsidP="00BE12A5">
            <w:pPr>
              <w:rPr>
                <w:b/>
                <w:bCs/>
              </w:rPr>
            </w:pPr>
          </w:p>
        </w:tc>
      </w:tr>
      <w:tr w:rsidR="00BA302C" w:rsidRPr="00BA302C" w14:paraId="0DF52664" w14:textId="77777777" w:rsidTr="00BA302C">
        <w:trPr>
          <w:trHeight w:val="567"/>
        </w:trPr>
        <w:tc>
          <w:tcPr>
            <w:tcW w:w="9016" w:type="dxa"/>
            <w:gridSpan w:val="3"/>
            <w:shd w:val="clear" w:color="auto" w:fill="1B8C89"/>
            <w:vAlign w:val="center"/>
          </w:tcPr>
          <w:p w14:paraId="223CB4E9" w14:textId="77777777" w:rsidR="00BA302C" w:rsidRPr="00BA302C" w:rsidRDefault="00BA302C" w:rsidP="00BE12A5">
            <w:pPr>
              <w:jc w:val="center"/>
              <w:rPr>
                <w:b/>
                <w:bCs/>
                <w:color w:val="FFFFFF" w:themeColor="background1"/>
              </w:rPr>
            </w:pPr>
            <w:r>
              <w:rPr>
                <w:b/>
                <w:bCs/>
                <w:color w:val="FFFFFF" w:themeColor="background1"/>
                <w:sz w:val="28"/>
                <w:szCs w:val="28"/>
              </w:rPr>
              <w:t>Conductor</w:t>
            </w:r>
          </w:p>
        </w:tc>
      </w:tr>
      <w:tr w:rsidR="00BA302C" w14:paraId="5CACB199" w14:textId="77777777" w:rsidTr="00554DB6">
        <w:tc>
          <w:tcPr>
            <w:tcW w:w="2864" w:type="dxa"/>
            <w:vAlign w:val="center"/>
          </w:tcPr>
          <w:p w14:paraId="10CE7258" w14:textId="77777777" w:rsidR="00BA302C" w:rsidRPr="00820E57" w:rsidRDefault="00BA302C" w:rsidP="00BE12A5">
            <w:r>
              <w:rPr>
                <w:b/>
                <w:bCs/>
              </w:rPr>
              <w:t>Tema</w:t>
            </w:r>
          </w:p>
        </w:tc>
        <w:tc>
          <w:tcPr>
            <w:tcW w:w="4897" w:type="dxa"/>
          </w:tcPr>
          <w:p w14:paraId="5B054D4B" w14:textId="77777777" w:rsidR="00BA302C" w:rsidRPr="00820E57" w:rsidRDefault="00BA302C" w:rsidP="00BE12A5">
            <w:r>
              <w:rPr>
                <w:b/>
                <w:bCs/>
              </w:rPr>
              <w:t>Detalle</w:t>
            </w:r>
          </w:p>
        </w:tc>
        <w:tc>
          <w:tcPr>
            <w:tcW w:w="1255" w:type="dxa"/>
          </w:tcPr>
          <w:p w14:paraId="75732057" w14:textId="77777777" w:rsidR="00BA302C" w:rsidRPr="00FC3DAD" w:rsidRDefault="00BA302C" w:rsidP="00BE12A5">
            <w:pPr>
              <w:rPr>
                <w:b/>
                <w:bCs/>
              </w:rPr>
            </w:pPr>
            <w:r>
              <w:rPr>
                <w:b/>
                <w:bCs/>
              </w:rPr>
              <w:t>Puntuación</w:t>
            </w:r>
          </w:p>
        </w:tc>
      </w:tr>
      <w:tr w:rsidR="00BA302C" w:rsidRPr="00BA302C" w14:paraId="1BD297E7" w14:textId="77777777" w:rsidTr="00BE12A5">
        <w:tc>
          <w:tcPr>
            <w:tcW w:w="9016" w:type="dxa"/>
            <w:gridSpan w:val="3"/>
            <w:vAlign w:val="center"/>
          </w:tcPr>
          <w:p w14:paraId="68262E7E" w14:textId="77777777" w:rsidR="00BA302C" w:rsidRPr="00BA302C" w:rsidRDefault="00BA302C" w:rsidP="00BE12A5">
            <w:pPr>
              <w:rPr>
                <w:b/>
                <w:bCs/>
                <w:color w:val="1E69AA"/>
              </w:rPr>
            </w:pPr>
            <w:r>
              <w:rPr>
                <w:b/>
                <w:bCs/>
                <w:color w:val="1E69AA"/>
              </w:rPr>
              <w:t>Manual del Conductor</w:t>
            </w:r>
          </w:p>
        </w:tc>
      </w:tr>
      <w:tr w:rsidR="00BA302C" w14:paraId="78072081" w14:textId="77777777" w:rsidTr="00554DB6">
        <w:tc>
          <w:tcPr>
            <w:tcW w:w="2864" w:type="dxa"/>
            <w:vAlign w:val="center"/>
          </w:tcPr>
          <w:p w14:paraId="791A439E" w14:textId="77777777" w:rsidR="00BA302C" w:rsidRPr="00820E57" w:rsidRDefault="00BA302C" w:rsidP="00BE12A5">
            <w:r>
              <w:t>Manuales de conductor suministrados</w:t>
            </w:r>
          </w:p>
        </w:tc>
        <w:tc>
          <w:tcPr>
            <w:tcW w:w="4897" w:type="dxa"/>
          </w:tcPr>
          <w:p w14:paraId="7FA10845" w14:textId="77777777" w:rsidR="00BA302C" w:rsidRPr="00820E57" w:rsidRDefault="00BA302C" w:rsidP="00BE12A5">
            <w:r>
              <w:t>Se proporcionan manuales para conductores a TODOS los empleados que realizan viajes por carretera relacionados con el trabajo, incluidos los empleados que conducen vehículos de la Flota Gris, que incluyen todos los elementos clave de políticas y procedimientos junto con consejos de conducción segura. El manual debe ayudar a los empleados a cumplir con sus políticas y procedimientos de conducción segura.</w:t>
            </w:r>
          </w:p>
        </w:tc>
        <w:tc>
          <w:tcPr>
            <w:tcW w:w="1255" w:type="dxa"/>
          </w:tcPr>
          <w:p w14:paraId="5FC73347" w14:textId="77777777" w:rsidR="00BA302C" w:rsidRPr="00FC3DAD" w:rsidRDefault="00BA302C" w:rsidP="00BE12A5">
            <w:pPr>
              <w:rPr>
                <w:b/>
                <w:bCs/>
              </w:rPr>
            </w:pPr>
          </w:p>
        </w:tc>
      </w:tr>
      <w:tr w:rsidR="00BA302C" w14:paraId="04720E02" w14:textId="77777777" w:rsidTr="00554DB6">
        <w:tc>
          <w:tcPr>
            <w:tcW w:w="2864" w:type="dxa"/>
            <w:vAlign w:val="center"/>
          </w:tcPr>
          <w:p w14:paraId="4476DC6A" w14:textId="77777777" w:rsidR="00BA302C" w:rsidRPr="004B47D0" w:rsidRDefault="00BA302C" w:rsidP="00BE12A5">
            <w:r>
              <w:t>Revisión y actualización</w:t>
            </w:r>
          </w:p>
        </w:tc>
        <w:tc>
          <w:tcPr>
            <w:tcW w:w="4897" w:type="dxa"/>
          </w:tcPr>
          <w:p w14:paraId="1EF2A98C" w14:textId="77777777" w:rsidR="00BA302C" w:rsidRPr="004B47D0" w:rsidRDefault="00BA302C" w:rsidP="00BE12A5">
            <w:r>
              <w:t>Los manuales se revisan anualmente y/o cada vez que se realizan cambios significativos en las políticas y procedimientos o consejos de seguridad de conducción y se actualizan en consecuencia.</w:t>
            </w:r>
          </w:p>
        </w:tc>
        <w:tc>
          <w:tcPr>
            <w:tcW w:w="1255" w:type="dxa"/>
          </w:tcPr>
          <w:p w14:paraId="5E5F2DEF" w14:textId="77777777" w:rsidR="00BA302C" w:rsidRPr="00FC3DAD" w:rsidRDefault="00BA302C" w:rsidP="00BE12A5">
            <w:pPr>
              <w:rPr>
                <w:b/>
                <w:bCs/>
              </w:rPr>
            </w:pPr>
          </w:p>
        </w:tc>
      </w:tr>
      <w:tr w:rsidR="00BA302C" w:rsidRPr="00BA302C" w14:paraId="7FD90442" w14:textId="77777777" w:rsidTr="00BE12A5">
        <w:tc>
          <w:tcPr>
            <w:tcW w:w="9016" w:type="dxa"/>
            <w:gridSpan w:val="3"/>
            <w:vAlign w:val="center"/>
          </w:tcPr>
          <w:p w14:paraId="26901096" w14:textId="77777777" w:rsidR="00BA302C" w:rsidRPr="00BA302C" w:rsidRDefault="00BA302C" w:rsidP="00BE12A5">
            <w:pPr>
              <w:rPr>
                <w:b/>
                <w:bCs/>
                <w:color w:val="1E69AA"/>
              </w:rPr>
            </w:pPr>
            <w:r>
              <w:rPr>
                <w:b/>
                <w:bCs/>
                <w:color w:val="1E69AA"/>
              </w:rPr>
              <w:t>Responsabilidades del Conductor</w:t>
            </w:r>
          </w:p>
        </w:tc>
      </w:tr>
      <w:tr w:rsidR="00BA302C" w14:paraId="52FDED18" w14:textId="77777777" w:rsidTr="00554DB6">
        <w:tc>
          <w:tcPr>
            <w:tcW w:w="2864" w:type="dxa"/>
            <w:vAlign w:val="center"/>
          </w:tcPr>
          <w:p w14:paraId="438559E7" w14:textId="77777777" w:rsidR="00BA302C" w:rsidRPr="004B47D0" w:rsidRDefault="00BA302C" w:rsidP="00BE12A5">
            <w:r>
              <w:t>Capacidad para conducir</w:t>
            </w:r>
          </w:p>
        </w:tc>
        <w:tc>
          <w:tcPr>
            <w:tcW w:w="4897" w:type="dxa"/>
          </w:tcPr>
          <w:p w14:paraId="6DD6CB8E" w14:textId="77777777" w:rsidR="00BA302C" w:rsidRPr="004B47D0" w:rsidRDefault="00BA302C" w:rsidP="00BE12A5">
            <w:r>
              <w:t>Todos los conductores, incluidos los empleados que conducen vehículos de la Flota Gris, se aseguran de que estén en condiciones de conducir antes de realizar CUALQUIER viaje por carretera relacionado con el trabajo.  Esto incluye cuestiones relacionadas con la salud, la vista, la discapacidad y la fatiga.</w:t>
            </w:r>
          </w:p>
        </w:tc>
        <w:tc>
          <w:tcPr>
            <w:tcW w:w="1255" w:type="dxa"/>
          </w:tcPr>
          <w:p w14:paraId="644C0237" w14:textId="77777777" w:rsidR="00BA302C" w:rsidRPr="00FC3DAD" w:rsidRDefault="00BA302C" w:rsidP="00BE12A5">
            <w:pPr>
              <w:rPr>
                <w:b/>
                <w:bCs/>
              </w:rPr>
            </w:pPr>
          </w:p>
        </w:tc>
      </w:tr>
      <w:tr w:rsidR="00BA302C" w14:paraId="40ED3354" w14:textId="77777777" w:rsidTr="00554DB6">
        <w:tc>
          <w:tcPr>
            <w:tcW w:w="2864" w:type="dxa"/>
            <w:vAlign w:val="center"/>
          </w:tcPr>
          <w:p w14:paraId="727D87E2" w14:textId="77777777" w:rsidR="00BA302C" w:rsidRPr="004B47D0" w:rsidRDefault="00BA302C" w:rsidP="00BE12A5">
            <w:r>
              <w:t>Cumplimiento con la ley</w:t>
            </w:r>
          </w:p>
        </w:tc>
        <w:tc>
          <w:tcPr>
            <w:tcW w:w="4897" w:type="dxa"/>
          </w:tcPr>
          <w:p w14:paraId="54D2E4F5" w14:textId="77777777" w:rsidR="00BA302C" w:rsidRPr="004B47D0" w:rsidRDefault="00BA302C" w:rsidP="00BE12A5">
            <w:r>
              <w:t>Todos los conductores, incluidos los empleados que conducen vehículos de la Flota Gris, cumplen plenamente con toda la legislación local.  Hay una auditoría de seguimiento que demuestra que la mayoría de los conductores cumplen con esta obligación (p. ej. por multas por exceso de velocidad).</w:t>
            </w:r>
          </w:p>
        </w:tc>
        <w:tc>
          <w:tcPr>
            <w:tcW w:w="1255" w:type="dxa"/>
          </w:tcPr>
          <w:p w14:paraId="39A66E96" w14:textId="77777777" w:rsidR="00BA302C" w:rsidRPr="00FC3DAD" w:rsidRDefault="00BA302C" w:rsidP="00BE12A5">
            <w:pPr>
              <w:rPr>
                <w:b/>
                <w:bCs/>
              </w:rPr>
            </w:pPr>
          </w:p>
        </w:tc>
      </w:tr>
      <w:tr w:rsidR="00BA302C" w14:paraId="1533EAD0" w14:textId="77777777" w:rsidTr="00554DB6">
        <w:tc>
          <w:tcPr>
            <w:tcW w:w="2864" w:type="dxa"/>
            <w:vAlign w:val="center"/>
          </w:tcPr>
          <w:p w14:paraId="66D6F840" w14:textId="77777777" w:rsidR="00BA302C" w:rsidRPr="004B47D0" w:rsidRDefault="00BA302C" w:rsidP="00BE12A5">
            <w:r>
              <w:t>Informe de cambios en las circunstancias</w:t>
            </w:r>
          </w:p>
        </w:tc>
        <w:tc>
          <w:tcPr>
            <w:tcW w:w="4897" w:type="dxa"/>
          </w:tcPr>
          <w:p w14:paraId="5FFEAE2D" w14:textId="77777777" w:rsidR="00BA302C" w:rsidRPr="004B47D0" w:rsidRDefault="00BA302C" w:rsidP="00BE12A5">
            <w:r>
              <w:t xml:space="preserve">Todos los conductores, incluidos los empleados que conducen vehículos de la Flota Gris, están totalmente obligados a notificar a su Superior Inmediato sobre cualquier cambio en las circunstancias que podrían cambiar los riesgos que enfrentan.  Esto incluye problemas de salud, </w:t>
            </w:r>
            <w:r>
              <w:lastRenderedPageBreak/>
              <w:t>cambios de dirección y cambios en los permisos de conducir.</w:t>
            </w:r>
          </w:p>
        </w:tc>
        <w:tc>
          <w:tcPr>
            <w:tcW w:w="1255" w:type="dxa"/>
          </w:tcPr>
          <w:p w14:paraId="486CE903" w14:textId="77777777" w:rsidR="00BA302C" w:rsidRPr="00FC3DAD" w:rsidRDefault="00BA302C" w:rsidP="00BE12A5">
            <w:pPr>
              <w:rPr>
                <w:b/>
                <w:bCs/>
              </w:rPr>
            </w:pPr>
          </w:p>
        </w:tc>
      </w:tr>
      <w:tr w:rsidR="00BA302C" w14:paraId="6523A7F2" w14:textId="77777777" w:rsidTr="00554DB6">
        <w:tc>
          <w:tcPr>
            <w:tcW w:w="2864" w:type="dxa"/>
            <w:vAlign w:val="center"/>
          </w:tcPr>
          <w:p w14:paraId="03C3F56C" w14:textId="77777777" w:rsidR="00BA302C" w:rsidRPr="004B47D0" w:rsidRDefault="00BA302C" w:rsidP="00BE12A5">
            <w:r>
              <w:lastRenderedPageBreak/>
              <w:t>Seguridad del vehículo</w:t>
            </w:r>
          </w:p>
        </w:tc>
        <w:tc>
          <w:tcPr>
            <w:tcW w:w="4897" w:type="dxa"/>
          </w:tcPr>
          <w:p w14:paraId="0FAAEB22" w14:textId="77777777" w:rsidR="00BA302C" w:rsidRPr="004B47D0" w:rsidRDefault="00BA302C" w:rsidP="00BE12A5">
            <w:r>
              <w:t>Todos los conductores, incluidos los empleados que conducen vehículos de la Flota Gris, son plenamente conscientes de su obligación de garantizar que el vehículo que utilizan para viajes por carretera relacionados con el trabajo, independientemente de su propiedad, sea completamente legal y cumpla con los requisitos mínimos de seguridad de la empresa. Existen pruebas de que esta obligación generalmente se cumple (p. ej. de los registros de mantenimiento, como los vehículos que tienen uno o más neumáticos defectuosos).</w:t>
            </w:r>
          </w:p>
        </w:tc>
        <w:tc>
          <w:tcPr>
            <w:tcW w:w="1255" w:type="dxa"/>
          </w:tcPr>
          <w:p w14:paraId="2B0B21FD" w14:textId="77777777" w:rsidR="00BA302C" w:rsidRPr="00FC3DAD" w:rsidRDefault="00BA302C" w:rsidP="00BE12A5">
            <w:pPr>
              <w:rPr>
                <w:b/>
                <w:bCs/>
              </w:rPr>
            </w:pPr>
          </w:p>
        </w:tc>
      </w:tr>
      <w:tr w:rsidR="00BA302C" w14:paraId="1E69B9D1" w14:textId="77777777" w:rsidTr="00BE12A5">
        <w:tc>
          <w:tcPr>
            <w:tcW w:w="9016" w:type="dxa"/>
            <w:gridSpan w:val="3"/>
            <w:vAlign w:val="center"/>
          </w:tcPr>
          <w:p w14:paraId="23EEE23B" w14:textId="77777777" w:rsidR="00BA302C" w:rsidRPr="00FC3DAD" w:rsidRDefault="00BA302C" w:rsidP="00BE12A5">
            <w:pPr>
              <w:rPr>
                <w:b/>
                <w:bCs/>
              </w:rPr>
            </w:pPr>
          </w:p>
        </w:tc>
      </w:tr>
      <w:tr w:rsidR="00BA302C" w:rsidRPr="00BA302C" w14:paraId="7B1B744F" w14:textId="77777777" w:rsidTr="00BA302C">
        <w:trPr>
          <w:trHeight w:val="567"/>
        </w:trPr>
        <w:tc>
          <w:tcPr>
            <w:tcW w:w="9016" w:type="dxa"/>
            <w:gridSpan w:val="3"/>
            <w:shd w:val="clear" w:color="auto" w:fill="1B8C89"/>
            <w:vAlign w:val="center"/>
          </w:tcPr>
          <w:p w14:paraId="590A4C3C" w14:textId="77777777" w:rsidR="00BA302C" w:rsidRPr="00BA302C" w:rsidRDefault="00BA302C" w:rsidP="00BE12A5">
            <w:pPr>
              <w:jc w:val="center"/>
              <w:rPr>
                <w:b/>
                <w:bCs/>
                <w:color w:val="FFFFFF" w:themeColor="background1"/>
              </w:rPr>
            </w:pPr>
            <w:r>
              <w:rPr>
                <w:b/>
                <w:bCs/>
                <w:color w:val="FFFFFF" w:themeColor="background1"/>
                <w:sz w:val="28"/>
                <w:szCs w:val="28"/>
              </w:rPr>
              <w:t>Viaje</w:t>
            </w:r>
          </w:p>
        </w:tc>
      </w:tr>
      <w:tr w:rsidR="00BA302C" w14:paraId="651247FB" w14:textId="77777777" w:rsidTr="00554DB6">
        <w:tc>
          <w:tcPr>
            <w:tcW w:w="2864" w:type="dxa"/>
            <w:vAlign w:val="center"/>
          </w:tcPr>
          <w:p w14:paraId="6749E4B8" w14:textId="77777777" w:rsidR="00BA302C" w:rsidRPr="004B47D0" w:rsidRDefault="00BA302C" w:rsidP="00BE12A5">
            <w:r>
              <w:rPr>
                <w:b/>
                <w:bCs/>
              </w:rPr>
              <w:t>Tema</w:t>
            </w:r>
          </w:p>
        </w:tc>
        <w:tc>
          <w:tcPr>
            <w:tcW w:w="4897" w:type="dxa"/>
          </w:tcPr>
          <w:p w14:paraId="18D867F3" w14:textId="77777777" w:rsidR="00BA302C" w:rsidRPr="004B47D0" w:rsidRDefault="00BA302C" w:rsidP="00BE12A5">
            <w:r>
              <w:rPr>
                <w:b/>
                <w:bCs/>
              </w:rPr>
              <w:t>Detalle</w:t>
            </w:r>
          </w:p>
        </w:tc>
        <w:tc>
          <w:tcPr>
            <w:tcW w:w="1255" w:type="dxa"/>
          </w:tcPr>
          <w:p w14:paraId="4118877B" w14:textId="77777777" w:rsidR="00BA302C" w:rsidRPr="00FC3DAD" w:rsidRDefault="00BA302C" w:rsidP="00BE12A5">
            <w:pPr>
              <w:rPr>
                <w:b/>
                <w:bCs/>
              </w:rPr>
            </w:pPr>
            <w:r>
              <w:rPr>
                <w:b/>
                <w:bCs/>
              </w:rPr>
              <w:t>Puntuación</w:t>
            </w:r>
          </w:p>
        </w:tc>
      </w:tr>
      <w:tr w:rsidR="00BA302C" w:rsidRPr="00BA302C" w14:paraId="51805BEC" w14:textId="77777777" w:rsidTr="00BE12A5">
        <w:tc>
          <w:tcPr>
            <w:tcW w:w="9016" w:type="dxa"/>
            <w:gridSpan w:val="3"/>
            <w:vAlign w:val="center"/>
          </w:tcPr>
          <w:p w14:paraId="09606145" w14:textId="77777777" w:rsidR="00BA302C" w:rsidRPr="00BA302C" w:rsidRDefault="00BA302C" w:rsidP="00BE12A5">
            <w:pPr>
              <w:rPr>
                <w:b/>
                <w:bCs/>
                <w:color w:val="1E69AA"/>
              </w:rPr>
            </w:pPr>
            <w:r>
              <w:rPr>
                <w:b/>
                <w:bCs/>
                <w:color w:val="1E69AA"/>
              </w:rPr>
              <w:t>Evaluación de la necesidad de viajar</w:t>
            </w:r>
          </w:p>
        </w:tc>
      </w:tr>
      <w:tr w:rsidR="00BA302C" w14:paraId="109C788C" w14:textId="77777777" w:rsidTr="00554DB6">
        <w:tc>
          <w:tcPr>
            <w:tcW w:w="2864" w:type="dxa"/>
            <w:vAlign w:val="center"/>
          </w:tcPr>
          <w:p w14:paraId="44534DFE" w14:textId="77777777" w:rsidR="00BA302C" w:rsidRPr="004B47D0" w:rsidRDefault="00BA302C" w:rsidP="00BE12A5">
            <w:r>
              <w:t>Los viajes innecesarios son eliminados.</w:t>
            </w:r>
          </w:p>
        </w:tc>
        <w:tc>
          <w:tcPr>
            <w:tcW w:w="4897" w:type="dxa"/>
          </w:tcPr>
          <w:p w14:paraId="4AE3DA45" w14:textId="77777777" w:rsidR="00BA302C" w:rsidRPr="004B47D0" w:rsidRDefault="00BA302C" w:rsidP="00BE12A5">
            <w:r>
              <w:t>Los viajes se eliminan siempre que sea posible, a través de cambios en las prácticas operativas (p. ej. mediante el uso de videoconferencia para reemplazar la necesidad de viajar en algunos casos).</w:t>
            </w:r>
          </w:p>
        </w:tc>
        <w:tc>
          <w:tcPr>
            <w:tcW w:w="1255" w:type="dxa"/>
          </w:tcPr>
          <w:p w14:paraId="22397078" w14:textId="77777777" w:rsidR="00BA302C" w:rsidRPr="00FC3DAD" w:rsidRDefault="00BA302C" w:rsidP="00BE12A5">
            <w:pPr>
              <w:rPr>
                <w:b/>
                <w:bCs/>
              </w:rPr>
            </w:pPr>
          </w:p>
        </w:tc>
      </w:tr>
      <w:tr w:rsidR="00BA302C" w:rsidRPr="00BA302C" w14:paraId="10BE1ED6" w14:textId="77777777" w:rsidTr="00BE12A5">
        <w:tc>
          <w:tcPr>
            <w:tcW w:w="9016" w:type="dxa"/>
            <w:gridSpan w:val="3"/>
            <w:vAlign w:val="center"/>
          </w:tcPr>
          <w:p w14:paraId="5DC95B3D" w14:textId="77777777" w:rsidR="00BA302C" w:rsidRPr="00BA302C" w:rsidRDefault="00BA302C" w:rsidP="00BE12A5">
            <w:pPr>
              <w:rPr>
                <w:b/>
                <w:bCs/>
                <w:color w:val="1E69AA"/>
              </w:rPr>
            </w:pPr>
            <w:r>
              <w:rPr>
                <w:b/>
                <w:bCs/>
                <w:color w:val="1E69AA"/>
              </w:rPr>
              <w:t>Condiciones Climáticas Adversas</w:t>
            </w:r>
          </w:p>
        </w:tc>
      </w:tr>
      <w:tr w:rsidR="00BA302C" w14:paraId="0C402586" w14:textId="77777777" w:rsidTr="00554DB6">
        <w:tc>
          <w:tcPr>
            <w:tcW w:w="2864" w:type="dxa"/>
            <w:vAlign w:val="center"/>
          </w:tcPr>
          <w:p w14:paraId="68B1ABE4" w14:textId="77777777" w:rsidR="00BA302C" w:rsidRPr="004B47D0" w:rsidRDefault="00BA302C" w:rsidP="00BE12A5">
            <w:r>
              <w:t>Conducción en climas extremos</w:t>
            </w:r>
          </w:p>
        </w:tc>
        <w:tc>
          <w:tcPr>
            <w:tcW w:w="4897" w:type="dxa"/>
          </w:tcPr>
          <w:p w14:paraId="031C33DB" w14:textId="77777777" w:rsidR="00BA302C" w:rsidRPr="004B47D0" w:rsidRDefault="00BA302C" w:rsidP="00BE12A5">
            <w:r>
              <w:t>No se realizan viajes en condiciones climáticas extremas, donde las autoridades han aconsejado no viajar o donde su evaluación dinámica de riesgos muestra que existen riesgos inaceptables.</w:t>
            </w:r>
          </w:p>
        </w:tc>
        <w:tc>
          <w:tcPr>
            <w:tcW w:w="1255" w:type="dxa"/>
          </w:tcPr>
          <w:p w14:paraId="6BFE0CDB" w14:textId="77777777" w:rsidR="00BA302C" w:rsidRPr="00FC3DAD" w:rsidRDefault="00BA302C" w:rsidP="00BE12A5">
            <w:pPr>
              <w:rPr>
                <w:b/>
                <w:bCs/>
              </w:rPr>
            </w:pPr>
          </w:p>
        </w:tc>
      </w:tr>
      <w:tr w:rsidR="00BA302C" w14:paraId="6AAF6A4D" w14:textId="77777777" w:rsidTr="00BE12A5">
        <w:tc>
          <w:tcPr>
            <w:tcW w:w="9016" w:type="dxa"/>
            <w:gridSpan w:val="3"/>
            <w:vAlign w:val="center"/>
          </w:tcPr>
          <w:p w14:paraId="13EC48BE" w14:textId="77777777" w:rsidR="00BA302C" w:rsidRPr="00FC3DAD" w:rsidRDefault="00BA302C" w:rsidP="00BE12A5">
            <w:pPr>
              <w:rPr>
                <w:b/>
                <w:bCs/>
              </w:rPr>
            </w:pPr>
          </w:p>
        </w:tc>
      </w:tr>
      <w:tr w:rsidR="00BA302C" w:rsidRPr="00BA302C" w14:paraId="706AC38E" w14:textId="77777777" w:rsidTr="00BA302C">
        <w:trPr>
          <w:trHeight w:val="567"/>
        </w:trPr>
        <w:tc>
          <w:tcPr>
            <w:tcW w:w="9016" w:type="dxa"/>
            <w:gridSpan w:val="3"/>
            <w:shd w:val="clear" w:color="auto" w:fill="1B8C89"/>
            <w:vAlign w:val="center"/>
          </w:tcPr>
          <w:p w14:paraId="668DFE89" w14:textId="77777777" w:rsidR="00BA302C" w:rsidRPr="00BA302C" w:rsidRDefault="00BA302C" w:rsidP="00BE12A5">
            <w:pPr>
              <w:jc w:val="center"/>
              <w:rPr>
                <w:b/>
                <w:bCs/>
                <w:color w:val="FFFFFF" w:themeColor="background1"/>
              </w:rPr>
            </w:pPr>
            <w:r>
              <w:rPr>
                <w:b/>
                <w:bCs/>
                <w:color w:val="FFFFFF" w:themeColor="background1"/>
                <w:sz w:val="28"/>
                <w:szCs w:val="28"/>
              </w:rPr>
              <w:t>Vehículo</w:t>
            </w:r>
          </w:p>
        </w:tc>
      </w:tr>
      <w:tr w:rsidR="00BA302C" w14:paraId="48F71F95" w14:textId="77777777" w:rsidTr="00554DB6">
        <w:tc>
          <w:tcPr>
            <w:tcW w:w="2864" w:type="dxa"/>
            <w:vAlign w:val="center"/>
          </w:tcPr>
          <w:p w14:paraId="4ADD0D1B" w14:textId="77777777" w:rsidR="00BA302C" w:rsidRPr="004B47D0" w:rsidRDefault="00BA302C" w:rsidP="00BE12A5">
            <w:r>
              <w:rPr>
                <w:b/>
                <w:bCs/>
              </w:rPr>
              <w:t>Tema</w:t>
            </w:r>
          </w:p>
        </w:tc>
        <w:tc>
          <w:tcPr>
            <w:tcW w:w="4897" w:type="dxa"/>
          </w:tcPr>
          <w:p w14:paraId="1D4C9BA7" w14:textId="77777777" w:rsidR="00BA302C" w:rsidRPr="004B47D0" w:rsidRDefault="00BA302C" w:rsidP="00BE12A5">
            <w:r>
              <w:rPr>
                <w:b/>
                <w:bCs/>
              </w:rPr>
              <w:t>Detalle</w:t>
            </w:r>
          </w:p>
        </w:tc>
        <w:tc>
          <w:tcPr>
            <w:tcW w:w="1255" w:type="dxa"/>
          </w:tcPr>
          <w:p w14:paraId="1EFC1D27" w14:textId="77777777" w:rsidR="00BA302C" w:rsidRPr="00FC3DAD" w:rsidRDefault="00BA302C" w:rsidP="00BE12A5">
            <w:pPr>
              <w:rPr>
                <w:b/>
                <w:bCs/>
              </w:rPr>
            </w:pPr>
            <w:r>
              <w:rPr>
                <w:b/>
                <w:bCs/>
              </w:rPr>
              <w:t>Puntuación</w:t>
            </w:r>
          </w:p>
        </w:tc>
      </w:tr>
      <w:tr w:rsidR="00BA302C" w:rsidRPr="00BA302C" w14:paraId="0E54F777" w14:textId="77777777" w:rsidTr="00BE12A5">
        <w:tc>
          <w:tcPr>
            <w:tcW w:w="9016" w:type="dxa"/>
            <w:gridSpan w:val="3"/>
            <w:vAlign w:val="center"/>
          </w:tcPr>
          <w:p w14:paraId="4B837CBB" w14:textId="77777777" w:rsidR="00BA302C" w:rsidRPr="00BA302C" w:rsidRDefault="00BA302C" w:rsidP="00BE12A5">
            <w:pPr>
              <w:rPr>
                <w:b/>
                <w:bCs/>
                <w:color w:val="1E69AA"/>
              </w:rPr>
            </w:pPr>
            <w:r>
              <w:rPr>
                <w:b/>
                <w:bCs/>
                <w:color w:val="1E69AA"/>
              </w:rPr>
              <w:t>Selección del Vehículo</w:t>
            </w:r>
          </w:p>
        </w:tc>
      </w:tr>
      <w:tr w:rsidR="00BA302C" w14:paraId="744B92C7" w14:textId="77777777" w:rsidTr="00554DB6">
        <w:tc>
          <w:tcPr>
            <w:tcW w:w="2864" w:type="dxa"/>
            <w:vAlign w:val="center"/>
          </w:tcPr>
          <w:p w14:paraId="6CA6486D" w14:textId="77777777" w:rsidR="00BA302C" w:rsidRPr="004B47D0" w:rsidRDefault="00BA302C" w:rsidP="00BE12A5">
            <w:r>
              <w:t>Los vehículos se adecuan al propósito</w:t>
            </w:r>
          </w:p>
        </w:tc>
        <w:tc>
          <w:tcPr>
            <w:tcW w:w="4897" w:type="dxa"/>
          </w:tcPr>
          <w:p w14:paraId="42356047" w14:textId="77777777" w:rsidR="00BA302C" w:rsidRPr="004B47D0" w:rsidRDefault="00BA302C" w:rsidP="00BE12A5">
            <w:r>
              <w:t xml:space="preserve">Todos los vehículos, incluidos los vehículos de la Flota Gris, son adecuados para los viajes requeridos (adecuados para el propósito). Esto incluye problemas ergonómicos en torno a las posiciones de los asientos, lo que se transporta en el vehículo y la carga/descarga. </w:t>
            </w:r>
          </w:p>
        </w:tc>
        <w:tc>
          <w:tcPr>
            <w:tcW w:w="1255" w:type="dxa"/>
          </w:tcPr>
          <w:p w14:paraId="14BB662D" w14:textId="77777777" w:rsidR="00BA302C" w:rsidRPr="00FC3DAD" w:rsidRDefault="00BA302C" w:rsidP="00BE12A5">
            <w:pPr>
              <w:rPr>
                <w:b/>
                <w:bCs/>
              </w:rPr>
            </w:pPr>
          </w:p>
        </w:tc>
      </w:tr>
      <w:tr w:rsidR="00BA302C" w14:paraId="1980D135" w14:textId="77777777" w:rsidTr="00554DB6">
        <w:tc>
          <w:tcPr>
            <w:tcW w:w="2864" w:type="dxa"/>
            <w:vAlign w:val="center"/>
          </w:tcPr>
          <w:p w14:paraId="124AD29C" w14:textId="77777777" w:rsidR="00BA302C" w:rsidRPr="004B47D0" w:rsidRDefault="00BA302C" w:rsidP="00BE12A5">
            <w:r>
              <w:t>Especificación de seguridad mínima</w:t>
            </w:r>
          </w:p>
        </w:tc>
        <w:tc>
          <w:tcPr>
            <w:tcW w:w="4897" w:type="dxa"/>
          </w:tcPr>
          <w:p w14:paraId="5B7E56F4" w14:textId="77777777" w:rsidR="00BA302C" w:rsidRPr="004B47D0" w:rsidRDefault="00BA302C" w:rsidP="00BE12A5">
            <w:r>
              <w:t>Todos los vehículos están equipados con cinturones de seguridad para todos los asientos, 2 espejos retrovisores, 2 airbags y Control Electrónico de Estabilidad como mínimo.  Si su especificación de seguridad mínima es más avanzada, entonces debería usarse como estos criterios.</w:t>
            </w:r>
          </w:p>
        </w:tc>
        <w:tc>
          <w:tcPr>
            <w:tcW w:w="1255" w:type="dxa"/>
          </w:tcPr>
          <w:p w14:paraId="18DAB5E5" w14:textId="77777777" w:rsidR="00BA302C" w:rsidRPr="00FC3DAD" w:rsidRDefault="00BA302C" w:rsidP="00BE12A5">
            <w:pPr>
              <w:rPr>
                <w:b/>
                <w:bCs/>
              </w:rPr>
            </w:pPr>
          </w:p>
        </w:tc>
      </w:tr>
      <w:tr w:rsidR="00BA302C" w:rsidRPr="00BA302C" w14:paraId="15CFB24D" w14:textId="77777777" w:rsidTr="00BE12A5">
        <w:tc>
          <w:tcPr>
            <w:tcW w:w="9016" w:type="dxa"/>
            <w:gridSpan w:val="3"/>
            <w:vAlign w:val="center"/>
          </w:tcPr>
          <w:p w14:paraId="7DE6AEE0" w14:textId="77777777" w:rsidR="00BA302C" w:rsidRPr="00BA302C" w:rsidRDefault="00BA302C" w:rsidP="00BE12A5">
            <w:pPr>
              <w:rPr>
                <w:b/>
                <w:bCs/>
                <w:color w:val="1E69AA"/>
              </w:rPr>
            </w:pPr>
            <w:r>
              <w:rPr>
                <w:b/>
                <w:bCs/>
                <w:color w:val="1E69AA"/>
              </w:rPr>
              <w:t>Mantenimiento del Vehículo</w:t>
            </w:r>
          </w:p>
        </w:tc>
      </w:tr>
      <w:tr w:rsidR="00BA302C" w14:paraId="4DA02DEF" w14:textId="77777777" w:rsidTr="00554DB6">
        <w:tc>
          <w:tcPr>
            <w:tcW w:w="2864" w:type="dxa"/>
            <w:vAlign w:val="center"/>
          </w:tcPr>
          <w:p w14:paraId="5BF7EF3D" w14:textId="77777777" w:rsidR="00BA302C" w:rsidRPr="004B47D0" w:rsidRDefault="00BA302C" w:rsidP="00BE12A5">
            <w:r>
              <w:t>Mantenimiento de rutina</w:t>
            </w:r>
          </w:p>
        </w:tc>
        <w:tc>
          <w:tcPr>
            <w:tcW w:w="4897" w:type="dxa"/>
          </w:tcPr>
          <w:p w14:paraId="51A1EB00" w14:textId="77777777" w:rsidR="00BA302C" w:rsidRPr="004B47D0" w:rsidRDefault="00BA302C" w:rsidP="00BE12A5">
            <w:r>
              <w:t>Todos los conductores revisan sus vehículos al menos una vez por semana, con evidencia como soporte. Para furgonetas y camiones, estos controles se llevan a cabo diariamente. Existe una auditoría de seguimiento para apoyar esto.</w:t>
            </w:r>
          </w:p>
        </w:tc>
        <w:tc>
          <w:tcPr>
            <w:tcW w:w="1255" w:type="dxa"/>
          </w:tcPr>
          <w:p w14:paraId="4BC131CC" w14:textId="77777777" w:rsidR="00BA302C" w:rsidRPr="00FC3DAD" w:rsidRDefault="00BA302C" w:rsidP="00BE12A5">
            <w:pPr>
              <w:rPr>
                <w:b/>
                <w:bCs/>
              </w:rPr>
            </w:pPr>
          </w:p>
        </w:tc>
      </w:tr>
      <w:tr w:rsidR="00BA302C" w14:paraId="0890E6EC" w14:textId="77777777" w:rsidTr="00554DB6">
        <w:tc>
          <w:tcPr>
            <w:tcW w:w="2864" w:type="dxa"/>
            <w:vAlign w:val="center"/>
          </w:tcPr>
          <w:p w14:paraId="150F06F7" w14:textId="77777777" w:rsidR="00BA302C" w:rsidRPr="004B47D0" w:rsidRDefault="00BA302C" w:rsidP="00BE12A5">
            <w:r>
              <w:lastRenderedPageBreak/>
              <w:t>Reparación</w:t>
            </w:r>
          </w:p>
        </w:tc>
        <w:tc>
          <w:tcPr>
            <w:tcW w:w="4897" w:type="dxa"/>
          </w:tcPr>
          <w:p w14:paraId="7C8ADCBC" w14:textId="2F325EF1" w:rsidR="00BA302C" w:rsidRPr="004B47D0" w:rsidRDefault="00BA302C" w:rsidP="00BE12A5">
            <w:r>
              <w:t>Todos los vehículos, incluidos los vehículos de la Flota Gris, son verificados según los programas del fabricante y/o intervalos variables, por talleres OEM</w:t>
            </w:r>
            <w:r w:rsidR="00A21FEA">
              <w:t xml:space="preserve"> [</w:t>
            </w:r>
            <w:r w:rsidR="00A21FEA" w:rsidRPr="00A21FEA">
              <w:t xml:space="preserve">Original </w:t>
            </w:r>
            <w:proofErr w:type="spellStart"/>
            <w:r w:rsidR="00A21FEA" w:rsidRPr="00A21FEA">
              <w:t>Equipment</w:t>
            </w:r>
            <w:proofErr w:type="spellEnd"/>
            <w:r w:rsidR="00A21FEA" w:rsidRPr="00A21FEA">
              <w:t xml:space="preserve"> </w:t>
            </w:r>
            <w:proofErr w:type="spellStart"/>
            <w:r w:rsidR="00A21FEA" w:rsidRPr="00A21FEA">
              <w:t>Manufacturer</w:t>
            </w:r>
            <w:proofErr w:type="spellEnd"/>
            <w:r w:rsidR="00A21FEA">
              <w:t xml:space="preserve"> (Fabricante de Equipo Original)]</w:t>
            </w:r>
            <w:r>
              <w:t>. Existe una auditoría de seguimiento para apoyar esto.</w:t>
            </w:r>
          </w:p>
        </w:tc>
        <w:tc>
          <w:tcPr>
            <w:tcW w:w="1255" w:type="dxa"/>
          </w:tcPr>
          <w:p w14:paraId="76432289" w14:textId="77777777" w:rsidR="00BA302C" w:rsidRPr="00FC3DAD" w:rsidRDefault="00BA302C" w:rsidP="00BE12A5">
            <w:pPr>
              <w:rPr>
                <w:b/>
                <w:bCs/>
              </w:rPr>
            </w:pPr>
          </w:p>
        </w:tc>
      </w:tr>
    </w:tbl>
    <w:p w14:paraId="39F796AB" w14:textId="77777777" w:rsidR="00BA302C" w:rsidRDefault="00BA302C" w:rsidP="00BA302C"/>
    <w:p w14:paraId="6798CF98" w14:textId="77777777" w:rsidR="00010FF2" w:rsidRDefault="00010FF2" w:rsidP="00BA302C">
      <w:pPr>
        <w:spacing w:after="0" w:line="240" w:lineRule="auto"/>
      </w:pPr>
      <w: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lang w:val="en-GB" w:eastAsia="en-GB"/>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Pr>
          <w:color w:val="1E69AA"/>
          <w:sz w:val="40"/>
          <w:szCs w:val="40"/>
        </w:rPr>
        <w:t>roadrisktoolkit.com</w:t>
      </w:r>
    </w:p>
    <w:sectPr w:rsidR="00F360A4" w:rsidRPr="00F360A4" w:rsidSect="003F3990">
      <w:headerReference w:type="first" r:id="rId10"/>
      <w:footerReference w:type="first" r:id="rId11"/>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8506FB" w14:textId="77777777" w:rsidR="00EB1E0B" w:rsidRDefault="00EB1E0B" w:rsidP="003F3990">
      <w:pPr>
        <w:spacing w:after="0" w:line="240" w:lineRule="auto"/>
      </w:pPr>
      <w:r>
        <w:separator/>
      </w:r>
    </w:p>
  </w:endnote>
  <w:endnote w:type="continuationSeparator" w:id="0">
    <w:p w14:paraId="3E824DA3" w14:textId="77777777" w:rsidR="00EB1E0B" w:rsidRDefault="00EB1E0B"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val="en-GB"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val="en-GB"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val="en-GB"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C50340" w14:textId="77777777" w:rsidR="00EB1E0B" w:rsidRDefault="00EB1E0B" w:rsidP="003F3990">
      <w:pPr>
        <w:spacing w:after="0" w:line="240" w:lineRule="auto"/>
      </w:pPr>
      <w:r>
        <w:separator/>
      </w:r>
    </w:p>
  </w:footnote>
  <w:footnote w:type="continuationSeparator" w:id="0">
    <w:p w14:paraId="1C9BCF43" w14:textId="77777777" w:rsidR="00EB1E0B" w:rsidRDefault="00EB1E0B"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val="en-GB"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54DB6"/>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21FEA"/>
    <w:rsid w:val="00A36053"/>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B1E0B"/>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 w:type="paragraph" w:styleId="BalloonText">
    <w:name w:val="Balloon Text"/>
    <w:basedOn w:val="Normal"/>
    <w:link w:val="BalloonTextChar"/>
    <w:uiPriority w:val="99"/>
    <w:semiHidden/>
    <w:unhideWhenUsed/>
    <w:rsid w:val="00554D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4D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adrisktoolki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il@roadrisktoolki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1843</Words>
  <Characters>10508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3</cp:revision>
  <dcterms:created xsi:type="dcterms:W3CDTF">2020-05-30T10:24:00Z</dcterms:created>
  <dcterms:modified xsi:type="dcterms:W3CDTF">2020-05-31T19:16:00Z</dcterms:modified>
</cp:coreProperties>
</file>