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7BF76" w14:textId="77777777" w:rsidR="003F3990" w:rsidRDefault="003F3990">
      <w:bookmarkStart w:id="0" w:name="_Hlk35941988"/>
      <w:bookmarkStart w:id="1" w:name="_GoBack"/>
      <w:bookmarkEnd w:id="1"/>
    </w:p>
    <w:p w14:paraId="6765B1AE" w14:textId="77777777" w:rsidR="003F3990" w:rsidRDefault="003F3990"/>
    <w:p w14:paraId="58B694B5" w14:textId="6FD8B35C" w:rsidR="00EC5615" w:rsidRDefault="00EC5615">
      <w:r>
        <w:t>La siguiente evaluación le permite realizar una autoevaluación para su empresa (Nivel Corporativo).</w:t>
      </w:r>
    </w:p>
    <w:p w14:paraId="1407A6C5" w14:textId="049580C1" w:rsidR="00EC5615" w:rsidRDefault="00EC5615"/>
    <w:p w14:paraId="7D49B645" w14:textId="5BEE8BA3" w:rsidR="00EC5615" w:rsidRDefault="00EC5615" w:rsidP="00EC5615">
      <w:r>
        <w:t>U</w:t>
      </w:r>
      <w:r w:rsidR="00945169">
        <w:t>tilice</w:t>
      </w:r>
      <w:r>
        <w:t xml:space="preserve"> 3 niveles de autoevaluación:</w:t>
      </w:r>
    </w:p>
    <w:p w14:paraId="69F4AEB2" w14:textId="320E17D7" w:rsidR="00EC5615" w:rsidRDefault="00EC5615" w:rsidP="00EC5615">
      <w:pPr>
        <w:pStyle w:val="ListParagraph"/>
        <w:numPr>
          <w:ilvl w:val="0"/>
          <w:numId w:val="1"/>
        </w:numPr>
      </w:pPr>
      <w:r>
        <w:t>Alto: todo lo incluido en los detalles está en su lugar.</w:t>
      </w:r>
    </w:p>
    <w:p w14:paraId="6ADEE4D0" w14:textId="06AF86A0" w:rsidR="00EC5615" w:rsidRDefault="00EC5615" w:rsidP="00EC5615">
      <w:pPr>
        <w:pStyle w:val="ListParagraph"/>
        <w:numPr>
          <w:ilvl w:val="0"/>
          <w:numId w:val="1"/>
        </w:numPr>
      </w:pPr>
      <w:r>
        <w:t>Intermedio: parte de lo incluido en los detalles está en su lugar.</w:t>
      </w:r>
    </w:p>
    <w:p w14:paraId="09975112" w14:textId="312491C3" w:rsidR="00EC5615" w:rsidRDefault="00EC5615" w:rsidP="00EC5615">
      <w:pPr>
        <w:pStyle w:val="ListParagraph"/>
        <w:numPr>
          <w:ilvl w:val="0"/>
          <w:numId w:val="1"/>
        </w:numPr>
      </w:pPr>
      <w:r>
        <w:t>Bajo: poco o nada de los detalles está en su lugar.</w:t>
      </w:r>
    </w:p>
    <w:p w14:paraId="73246066" w14:textId="77777777" w:rsidR="00EC5615" w:rsidRDefault="00EC5615" w:rsidP="00EC5615">
      <w:r>
        <w:t>Puntuación:</w:t>
      </w:r>
    </w:p>
    <w:p w14:paraId="5593262F" w14:textId="77777777" w:rsidR="00EC5615" w:rsidRDefault="00EC5615" w:rsidP="00EC5615">
      <w:pPr>
        <w:pStyle w:val="ListParagraph"/>
        <w:numPr>
          <w:ilvl w:val="0"/>
          <w:numId w:val="2"/>
        </w:numPr>
      </w:pPr>
      <w:r>
        <w:t>Buena: 1</w:t>
      </w:r>
    </w:p>
    <w:p w14:paraId="092CC01B" w14:textId="77777777" w:rsidR="00EC5615" w:rsidRDefault="00EC5615" w:rsidP="00EC5615">
      <w:pPr>
        <w:pStyle w:val="ListParagraph"/>
        <w:numPr>
          <w:ilvl w:val="0"/>
          <w:numId w:val="2"/>
        </w:numPr>
      </w:pPr>
      <w:r>
        <w:t>Intermedia: 0,5</w:t>
      </w:r>
    </w:p>
    <w:p w14:paraId="5CED1821" w14:textId="2D3CDFE4" w:rsidR="00EC5615" w:rsidRDefault="00EC5615" w:rsidP="00EC5615">
      <w:pPr>
        <w:pStyle w:val="ListParagraph"/>
        <w:numPr>
          <w:ilvl w:val="0"/>
          <w:numId w:val="2"/>
        </w:numPr>
      </w:pPr>
      <w:r>
        <w:t>Baja: 0</w:t>
      </w:r>
    </w:p>
    <w:p w14:paraId="47071AB1" w14:textId="525D4B9D" w:rsidR="00EC5615" w:rsidRDefault="00EC5615" w:rsidP="00EC5615">
      <w:r>
        <w:t>Clasificación (puntuación general):</w:t>
      </w:r>
    </w:p>
    <w:p w14:paraId="3ABB915C" w14:textId="77777777" w:rsidR="00EC5615" w:rsidRDefault="00EC5615" w:rsidP="00EC5615">
      <w:pPr>
        <w:pStyle w:val="ListParagraph"/>
        <w:numPr>
          <w:ilvl w:val="0"/>
          <w:numId w:val="3"/>
        </w:numPr>
      </w:pPr>
      <w:r>
        <w:t>Buena: 70-100%</w:t>
      </w:r>
    </w:p>
    <w:p w14:paraId="48C45834" w14:textId="77777777" w:rsidR="00EC5615" w:rsidRDefault="00EC5615" w:rsidP="00EC5615">
      <w:pPr>
        <w:pStyle w:val="ListParagraph"/>
        <w:numPr>
          <w:ilvl w:val="0"/>
          <w:numId w:val="3"/>
        </w:numPr>
      </w:pPr>
      <w:r>
        <w:t>Intermedia: 25-75%</w:t>
      </w:r>
    </w:p>
    <w:p w14:paraId="7B227381" w14:textId="1CA4A89E" w:rsidR="00EC5615" w:rsidRDefault="00EC5615" w:rsidP="00EC5615">
      <w:pPr>
        <w:pStyle w:val="ListParagraph"/>
        <w:numPr>
          <w:ilvl w:val="0"/>
          <w:numId w:val="3"/>
        </w:numPr>
      </w:pPr>
      <w:r>
        <w:t>Baja: 0-25%</w:t>
      </w:r>
    </w:p>
    <w:p w14:paraId="3E6E5AD4" w14:textId="77777777" w:rsidR="00000DE1" w:rsidRDefault="00000DE1"/>
    <w:p w14:paraId="244BC534" w14:textId="3BA0A617" w:rsidR="00E27B34" w:rsidRDefault="00AE450A" w:rsidP="00D577FA">
      <w:pPr>
        <w:jc w:val="both"/>
      </w:pPr>
      <w:r>
        <w:t xml:space="preserve">Nota: el documento se refiere a los vehículos de la Flota Gris.  Estos incluyen cualquier vehículo que no es propiedad de la organización, que no es alquilado por la organización, </w:t>
      </w:r>
      <w:r w:rsidR="00D577FA">
        <w:t xml:space="preserve">y, </w:t>
      </w:r>
      <w:r>
        <w:t xml:space="preserve">por lo general, aquellos que son propiedad o proporcionados por el empleado y que se utilizan para realizar viajes por carretera relacionados con el trabajo. </w:t>
      </w:r>
    </w:p>
    <w:p w14:paraId="68B0897D" w14:textId="77777777" w:rsidR="00E27B34" w:rsidRDefault="00E27B34" w:rsidP="00E27B34"/>
    <w:p w14:paraId="06EACED1" w14:textId="47D8BB95" w:rsidR="00E27B34" w:rsidRPr="00E27B34" w:rsidRDefault="00E27B34" w:rsidP="00D577FA">
      <w:pPr>
        <w:jc w:val="both"/>
      </w:pPr>
      <w:r>
        <w:t xml:space="preserve">Si tiene alguna </w:t>
      </w:r>
      <w:r w:rsidR="00D577FA">
        <w:t>duda</w:t>
      </w:r>
      <w:r>
        <w:t xml:space="preserve"> sobre el uso de este documento, póngase en contacto con: </w:t>
      </w:r>
      <w:hyperlink r:id="rId7" w:history="1">
        <w:r>
          <w:rPr>
            <w:rStyle w:val="Hyperlink"/>
          </w:rPr>
          <w:t>mail@roadrisktoolkit.com</w:t>
        </w:r>
      </w:hyperlink>
    </w:p>
    <w:p w14:paraId="790CE537" w14:textId="77777777" w:rsidR="00E27B34" w:rsidRPr="00E27B34" w:rsidRDefault="00E27B34" w:rsidP="00E27B34">
      <w:r>
        <w:t xml:space="preserve">Para cursos gratuitos de aprendizaje digital, visite </w:t>
      </w:r>
      <w:hyperlink r:id="rId8" w:history="1">
        <w:r>
          <w:rPr>
            <w:rStyle w:val="Hyperlink"/>
          </w:rPr>
          <w:t>https://roadrisktoolkit.com/</w:t>
        </w:r>
      </w:hyperlink>
    </w:p>
    <w:p w14:paraId="436D9567" w14:textId="01C90B80" w:rsidR="00E27B34" w:rsidRPr="00E27B34" w:rsidRDefault="00EC5615" w:rsidP="00E27B34">
      <w:r>
        <w:br w:type="page"/>
      </w:r>
      <w:bookmarkEnd w:id="0"/>
      <w:r>
        <w:lastRenderedPageBreak/>
        <w:t xml:space="preserve"> </w:t>
      </w:r>
    </w:p>
    <w:p w14:paraId="73E575E9" w14:textId="5E095DD1" w:rsidR="00EC5615" w:rsidRDefault="00EC5615"/>
    <w:tbl>
      <w:tblPr>
        <w:tblStyle w:val="TableGrid"/>
        <w:tblW w:w="0" w:type="auto"/>
        <w:tblLook w:val="04A0" w:firstRow="1" w:lastRow="0" w:firstColumn="1" w:lastColumn="0" w:noHBand="0" w:noVBand="1"/>
      </w:tblPr>
      <w:tblGrid>
        <w:gridCol w:w="2868"/>
        <w:gridCol w:w="4893"/>
        <w:gridCol w:w="1255"/>
      </w:tblGrid>
      <w:tr w:rsidR="003F3990" w:rsidRPr="003F3990" w14:paraId="19DCC199" w14:textId="77777777" w:rsidTr="003F3990">
        <w:trPr>
          <w:trHeight w:val="567"/>
        </w:trPr>
        <w:tc>
          <w:tcPr>
            <w:tcW w:w="9016" w:type="dxa"/>
            <w:gridSpan w:val="3"/>
            <w:shd w:val="clear" w:color="auto" w:fill="1B8C89"/>
            <w:vAlign w:val="center"/>
          </w:tcPr>
          <w:p w14:paraId="5939CF91" w14:textId="4E74B47C" w:rsidR="00FC3DAD" w:rsidRPr="003F3990" w:rsidRDefault="00FC3DAD" w:rsidP="00FC3DAD">
            <w:pPr>
              <w:jc w:val="center"/>
              <w:rPr>
                <w:color w:val="FFFFFF" w:themeColor="background1"/>
                <w:sz w:val="28"/>
                <w:szCs w:val="28"/>
              </w:rPr>
            </w:pPr>
            <w:r>
              <w:rPr>
                <w:b/>
                <w:bCs/>
                <w:color w:val="FFFFFF" w:themeColor="background1"/>
                <w:sz w:val="28"/>
                <w:szCs w:val="28"/>
              </w:rPr>
              <w:t>Gestión</w:t>
            </w:r>
          </w:p>
        </w:tc>
      </w:tr>
      <w:tr w:rsidR="00EC5615" w14:paraId="7E32764E" w14:textId="77777777" w:rsidTr="00FC3DAD">
        <w:tc>
          <w:tcPr>
            <w:tcW w:w="3005" w:type="dxa"/>
            <w:vAlign w:val="center"/>
          </w:tcPr>
          <w:p w14:paraId="50806FC6" w14:textId="5F8E164F" w:rsidR="00EC5615" w:rsidRPr="00FC3DAD" w:rsidRDefault="00EC5615" w:rsidP="00FC3DAD">
            <w:pPr>
              <w:rPr>
                <w:b/>
                <w:bCs/>
              </w:rPr>
            </w:pPr>
            <w:r>
              <w:rPr>
                <w:b/>
                <w:bCs/>
              </w:rPr>
              <w:t>Tema</w:t>
            </w:r>
          </w:p>
        </w:tc>
        <w:tc>
          <w:tcPr>
            <w:tcW w:w="5212" w:type="dxa"/>
          </w:tcPr>
          <w:p w14:paraId="6A4CEAC0" w14:textId="2C3B741E" w:rsidR="00EC5615" w:rsidRPr="00FC3DAD" w:rsidRDefault="00EC5615">
            <w:pPr>
              <w:rPr>
                <w:b/>
                <w:bCs/>
              </w:rPr>
            </w:pPr>
            <w:r>
              <w:rPr>
                <w:b/>
                <w:bCs/>
              </w:rPr>
              <w:t>Detalle</w:t>
            </w:r>
          </w:p>
        </w:tc>
        <w:tc>
          <w:tcPr>
            <w:tcW w:w="799" w:type="dxa"/>
          </w:tcPr>
          <w:p w14:paraId="23D6B034" w14:textId="09F7C654" w:rsidR="00EC5615" w:rsidRPr="00FC3DAD" w:rsidRDefault="00EC5615">
            <w:pPr>
              <w:rPr>
                <w:b/>
                <w:bCs/>
              </w:rPr>
            </w:pPr>
            <w:r>
              <w:rPr>
                <w:b/>
                <w:bCs/>
              </w:rPr>
              <w:t>Puntuación</w:t>
            </w:r>
          </w:p>
        </w:tc>
      </w:tr>
      <w:tr w:rsidR="003F3990" w:rsidRPr="003F3990" w14:paraId="0DD6484D" w14:textId="77777777" w:rsidTr="00FC3DAD">
        <w:tc>
          <w:tcPr>
            <w:tcW w:w="9016" w:type="dxa"/>
            <w:gridSpan w:val="3"/>
            <w:vAlign w:val="center"/>
          </w:tcPr>
          <w:p w14:paraId="1F6F59D7" w14:textId="040426E1" w:rsidR="00EC5615" w:rsidRPr="003F3990" w:rsidRDefault="00EC5615" w:rsidP="00FC3DAD">
            <w:pPr>
              <w:rPr>
                <w:b/>
                <w:bCs/>
                <w:color w:val="1E69AA"/>
              </w:rPr>
            </w:pPr>
            <w:r>
              <w:rPr>
                <w:b/>
                <w:bCs/>
                <w:color w:val="1E69AA"/>
              </w:rPr>
              <w:t>Liderazgo</w:t>
            </w:r>
          </w:p>
        </w:tc>
      </w:tr>
      <w:tr w:rsidR="00EC5615" w14:paraId="3471C215" w14:textId="77777777" w:rsidTr="00FC3DAD">
        <w:tc>
          <w:tcPr>
            <w:tcW w:w="3005" w:type="dxa"/>
            <w:vAlign w:val="center"/>
          </w:tcPr>
          <w:p w14:paraId="5FEF720C" w14:textId="4AD2B13E" w:rsidR="00EC5615" w:rsidRDefault="00EC5615" w:rsidP="00FC3DAD">
            <w:r>
              <w:t>Compromiso del CEO</w:t>
            </w:r>
          </w:p>
        </w:tc>
        <w:tc>
          <w:tcPr>
            <w:tcW w:w="5212" w:type="dxa"/>
          </w:tcPr>
          <w:p w14:paraId="7FF72CF8" w14:textId="745BCCFD" w:rsidR="00EC5615" w:rsidRDefault="00EC5615">
            <w:r>
              <w:t>El CEO, o equivalente, es el principal patrocinador de la iniciativa de seguridad vial, es responsable de la estrategia y proporciona un presupuesto suficiente para el programa.</w:t>
            </w:r>
          </w:p>
        </w:tc>
        <w:tc>
          <w:tcPr>
            <w:tcW w:w="799" w:type="dxa"/>
          </w:tcPr>
          <w:p w14:paraId="4885148A" w14:textId="77777777" w:rsidR="00EC5615" w:rsidRDefault="00EC5615"/>
        </w:tc>
      </w:tr>
      <w:tr w:rsidR="00EC5615" w14:paraId="569B67D9" w14:textId="77777777" w:rsidTr="00FC3DAD">
        <w:tc>
          <w:tcPr>
            <w:tcW w:w="3005" w:type="dxa"/>
            <w:vAlign w:val="center"/>
          </w:tcPr>
          <w:p w14:paraId="509E8130" w14:textId="5625F171" w:rsidR="00EC5615" w:rsidRPr="00EC5615" w:rsidRDefault="00EC5615" w:rsidP="00FC3DAD">
            <w:r>
              <w:t>Predicar con el ejemplo</w:t>
            </w:r>
          </w:p>
        </w:tc>
        <w:tc>
          <w:tcPr>
            <w:tcW w:w="5212" w:type="dxa"/>
          </w:tcPr>
          <w:p w14:paraId="6BCEFB4E" w14:textId="190427DD" w:rsidR="00EC5615" w:rsidRPr="00EC5615" w:rsidRDefault="00EC5615">
            <w:r>
              <w:t>Siempre se considera que los altos directivos conducen de manera segura y siempre siguen políticas y procedimientos de conducción segura.  Sus vehículos respetan la política de seguridad, que incluye tener instalados dispositivos de telemetría donde sean de uso.</w:t>
            </w:r>
          </w:p>
        </w:tc>
        <w:tc>
          <w:tcPr>
            <w:tcW w:w="799" w:type="dxa"/>
          </w:tcPr>
          <w:p w14:paraId="7E8BDC9D" w14:textId="77777777" w:rsidR="00EC5615" w:rsidRDefault="00EC5615"/>
        </w:tc>
      </w:tr>
      <w:tr w:rsidR="00FC3DAD" w:rsidRPr="003F3990" w14:paraId="00287126" w14:textId="77777777" w:rsidTr="00FC3DAD">
        <w:tc>
          <w:tcPr>
            <w:tcW w:w="9016" w:type="dxa"/>
            <w:gridSpan w:val="3"/>
            <w:vAlign w:val="center"/>
          </w:tcPr>
          <w:p w14:paraId="0D047C7D" w14:textId="3ADD7BE3" w:rsidR="00FC3DAD" w:rsidRPr="003F3990" w:rsidRDefault="00FC3DAD" w:rsidP="00FC3DAD">
            <w:pPr>
              <w:rPr>
                <w:b/>
                <w:bCs/>
                <w:color w:val="1E69AA"/>
              </w:rPr>
            </w:pPr>
            <w:r>
              <w:rPr>
                <w:b/>
                <w:bCs/>
                <w:color w:val="1E69AA"/>
              </w:rPr>
              <w:t>Superiores Inmediatos</w:t>
            </w:r>
          </w:p>
        </w:tc>
      </w:tr>
      <w:tr w:rsidR="00FC3DAD" w14:paraId="50F904FB" w14:textId="77777777" w:rsidTr="00FC3DAD">
        <w:tc>
          <w:tcPr>
            <w:tcW w:w="3005" w:type="dxa"/>
            <w:vAlign w:val="center"/>
          </w:tcPr>
          <w:p w14:paraId="5EE11ADA" w14:textId="5826F2AA" w:rsidR="00FC3DAD" w:rsidRDefault="00FC3DAD" w:rsidP="00FC3DAD">
            <w:r>
              <w:t>Formación</w:t>
            </w:r>
          </w:p>
        </w:tc>
        <w:tc>
          <w:tcPr>
            <w:tcW w:w="5212" w:type="dxa"/>
          </w:tcPr>
          <w:p w14:paraId="7CD006C4" w14:textId="3725092E" w:rsidR="00FC3DAD" w:rsidRPr="00EC5615" w:rsidRDefault="00FC3DAD">
            <w:r>
              <w:t>Los superiores inmediatos están completamente capacitados en sus roles y responsabilidades para mantener a su personal seguro en las carreteras, saber cuáles son los riesgos y cómo llevar a cabo los informes de los conductores después de incidentes o eventos de telemetría.</w:t>
            </w:r>
          </w:p>
        </w:tc>
        <w:tc>
          <w:tcPr>
            <w:tcW w:w="799" w:type="dxa"/>
          </w:tcPr>
          <w:p w14:paraId="53A08AC8" w14:textId="77777777" w:rsidR="00FC3DAD" w:rsidRDefault="00FC3DAD"/>
        </w:tc>
      </w:tr>
      <w:tr w:rsidR="00FC3DAD" w14:paraId="5DC52F51" w14:textId="77777777" w:rsidTr="00FC3DAD">
        <w:tc>
          <w:tcPr>
            <w:tcW w:w="3005" w:type="dxa"/>
            <w:vAlign w:val="center"/>
          </w:tcPr>
          <w:p w14:paraId="36189DBA" w14:textId="56A4113C" w:rsidR="00FC3DAD" w:rsidRDefault="00FC3DAD" w:rsidP="00FC3DAD">
            <w:r>
              <w:t>Compromiso del conductor</w:t>
            </w:r>
          </w:p>
        </w:tc>
        <w:tc>
          <w:tcPr>
            <w:tcW w:w="5212" w:type="dxa"/>
          </w:tcPr>
          <w:p w14:paraId="6967C734" w14:textId="3174D588" w:rsidR="00FC3DAD" w:rsidRPr="00EC5615" w:rsidRDefault="00FC3DAD">
            <w:r>
              <w:t>Los superiores inmediatos realizan informes formales de los conductores al menos una vez al mes, manteniendo registros formales.</w:t>
            </w:r>
          </w:p>
        </w:tc>
        <w:tc>
          <w:tcPr>
            <w:tcW w:w="799" w:type="dxa"/>
          </w:tcPr>
          <w:p w14:paraId="4D51FF8A" w14:textId="77777777" w:rsidR="00FC3DAD" w:rsidRDefault="00FC3DAD"/>
        </w:tc>
      </w:tr>
      <w:tr w:rsidR="00FC3DAD" w14:paraId="1B73D8BA" w14:textId="77777777" w:rsidTr="00FC3DAD">
        <w:tc>
          <w:tcPr>
            <w:tcW w:w="3005" w:type="dxa"/>
            <w:vAlign w:val="center"/>
          </w:tcPr>
          <w:p w14:paraId="7E235ECD" w14:textId="563A4E6A" w:rsidR="00FC3DAD" w:rsidRDefault="00FC3DAD" w:rsidP="00FC3DAD">
            <w:r>
              <w:t>Predicar con el ejemplo</w:t>
            </w:r>
          </w:p>
        </w:tc>
        <w:tc>
          <w:tcPr>
            <w:tcW w:w="5212" w:type="dxa"/>
          </w:tcPr>
          <w:p w14:paraId="2DF8CD71" w14:textId="1179F565" w:rsidR="00FC3DAD" w:rsidRPr="00FC3DAD" w:rsidRDefault="00FC3DAD">
            <w:r>
              <w:t xml:space="preserve">Siempre se considera que los superiores inmediatos conducen de manera segura y siempre siguen políticas y procedimientos de conducción segura.  Sus vehículos respetan la política de seguridad, incluyendo la instalación de dispositivos de telemetría donde sean de uso. </w:t>
            </w:r>
          </w:p>
        </w:tc>
        <w:tc>
          <w:tcPr>
            <w:tcW w:w="799" w:type="dxa"/>
          </w:tcPr>
          <w:p w14:paraId="3CEE4257" w14:textId="77777777" w:rsidR="00FC3DAD" w:rsidRDefault="00FC3DAD"/>
        </w:tc>
      </w:tr>
      <w:tr w:rsidR="00FC3DAD" w:rsidRPr="003F3990" w14:paraId="22BE52C5" w14:textId="77777777" w:rsidTr="00FC3DAD">
        <w:tc>
          <w:tcPr>
            <w:tcW w:w="9016" w:type="dxa"/>
            <w:gridSpan w:val="3"/>
            <w:vAlign w:val="center"/>
          </w:tcPr>
          <w:p w14:paraId="2CED32B0" w14:textId="6C561ACE" w:rsidR="00FC3DAD" w:rsidRPr="003F3990" w:rsidRDefault="00FC3DAD" w:rsidP="00FC3DAD">
            <w:pPr>
              <w:rPr>
                <w:b/>
                <w:bCs/>
                <w:color w:val="1E69AA"/>
              </w:rPr>
            </w:pPr>
            <w:r>
              <w:rPr>
                <w:b/>
                <w:bCs/>
                <w:color w:val="1E69AA"/>
              </w:rPr>
              <w:t>Gestión Financiera</w:t>
            </w:r>
          </w:p>
        </w:tc>
      </w:tr>
      <w:tr w:rsidR="00FC3DAD" w14:paraId="35341EED" w14:textId="77777777" w:rsidTr="00FC3DAD">
        <w:tc>
          <w:tcPr>
            <w:tcW w:w="3005" w:type="dxa"/>
            <w:vAlign w:val="center"/>
          </w:tcPr>
          <w:p w14:paraId="3BAF9C25" w14:textId="324C17CF" w:rsidR="00FC3DAD" w:rsidRDefault="00FC3DAD" w:rsidP="00FC3DAD">
            <w:r>
              <w:t>Coste Total del Riesgo</w:t>
            </w:r>
          </w:p>
        </w:tc>
        <w:tc>
          <w:tcPr>
            <w:tcW w:w="5212" w:type="dxa"/>
          </w:tcPr>
          <w:p w14:paraId="5B05F841" w14:textId="3C489083" w:rsidR="00FC3DAD" w:rsidRPr="00FC3DAD" w:rsidRDefault="00FC3DAD">
            <w:r>
              <w:t>El Coste Total del Riesgo, inclu</w:t>
            </w:r>
            <w:r w:rsidR="005C6076">
              <w:t>yendo</w:t>
            </w:r>
            <w:r>
              <w:t xml:space="preserve"> TODAS las pérdidas no aseguradas / costes ocultos, se conoce y comprende en toda la organización, y también se entiende en relación con la forma en que los ingresos necesarios para financiar el Coste Total del Riesgo se relacionan con el producto o servicio principal.</w:t>
            </w:r>
          </w:p>
        </w:tc>
        <w:tc>
          <w:tcPr>
            <w:tcW w:w="799" w:type="dxa"/>
          </w:tcPr>
          <w:p w14:paraId="0F11B407" w14:textId="77777777" w:rsidR="00FC3DAD" w:rsidRDefault="00FC3DAD"/>
        </w:tc>
      </w:tr>
      <w:tr w:rsidR="00FC3DAD" w14:paraId="18F37A8F" w14:textId="77777777" w:rsidTr="00FC3DAD">
        <w:tc>
          <w:tcPr>
            <w:tcW w:w="3005" w:type="dxa"/>
            <w:vAlign w:val="center"/>
          </w:tcPr>
          <w:p w14:paraId="7AC220E4" w14:textId="267E7949" w:rsidR="00FC3DAD" w:rsidRDefault="00FC3DAD" w:rsidP="00FC3DAD">
            <w:r>
              <w:t>Presupuesto de Gestión de Riesgos</w:t>
            </w:r>
          </w:p>
        </w:tc>
        <w:tc>
          <w:tcPr>
            <w:tcW w:w="5212" w:type="dxa"/>
          </w:tcPr>
          <w:p w14:paraId="0474C531" w14:textId="5399E4AC" w:rsidR="00FC3DAD" w:rsidRPr="00FC3DAD" w:rsidRDefault="00FC3DAD">
            <w:r>
              <w:t>El programa de gestión del riesgo vial relacionado con el trabajo tiene un presupuesto separado, suficiente para las acciones acordadas, limitado y revisado al menos anualmente en función de la evolución de la estrategia y el programa.</w:t>
            </w:r>
          </w:p>
        </w:tc>
        <w:tc>
          <w:tcPr>
            <w:tcW w:w="799" w:type="dxa"/>
          </w:tcPr>
          <w:p w14:paraId="0EBD8DBE" w14:textId="77777777" w:rsidR="00FC3DAD" w:rsidRDefault="00FC3DAD"/>
        </w:tc>
      </w:tr>
      <w:tr w:rsidR="00FC3DAD" w:rsidRPr="003F3990" w14:paraId="10A3D3BD" w14:textId="77777777" w:rsidTr="00FC3DAD">
        <w:tc>
          <w:tcPr>
            <w:tcW w:w="9016" w:type="dxa"/>
            <w:gridSpan w:val="3"/>
            <w:vAlign w:val="center"/>
          </w:tcPr>
          <w:p w14:paraId="6EF38E37" w14:textId="69381DDE" w:rsidR="00FC3DAD" w:rsidRPr="003F3990" w:rsidRDefault="00FC3DAD" w:rsidP="00FC3DAD">
            <w:pPr>
              <w:rPr>
                <w:b/>
                <w:bCs/>
                <w:color w:val="1E69AA"/>
              </w:rPr>
            </w:pPr>
            <w:r>
              <w:rPr>
                <w:b/>
                <w:bCs/>
                <w:color w:val="1E69AA"/>
              </w:rPr>
              <w:t>Conflictos Operacionales</w:t>
            </w:r>
          </w:p>
        </w:tc>
      </w:tr>
      <w:tr w:rsidR="00FC3DAD" w14:paraId="205E2495" w14:textId="77777777" w:rsidTr="00FC3DAD">
        <w:tc>
          <w:tcPr>
            <w:tcW w:w="3005" w:type="dxa"/>
            <w:vAlign w:val="center"/>
          </w:tcPr>
          <w:p w14:paraId="015AB623" w14:textId="76D59CB0" w:rsidR="00FC3DAD" w:rsidRDefault="00FC3DAD" w:rsidP="00FC3DAD">
            <w:r>
              <w:t>Alineación de las prácticas operativas con los requisitos de conducción segura.</w:t>
            </w:r>
          </w:p>
        </w:tc>
        <w:tc>
          <w:tcPr>
            <w:tcW w:w="5212" w:type="dxa"/>
          </w:tcPr>
          <w:p w14:paraId="100A0E52" w14:textId="7D1C95DE" w:rsidR="00FC3DAD" w:rsidRPr="00FC3DAD" w:rsidRDefault="00FC3DAD">
            <w:r>
              <w:t xml:space="preserve">Las políticas, procedimientos y prácticas operacionales están totalmente alineados con los requisitos de conducción segura y las políticas de </w:t>
            </w:r>
            <w:r>
              <w:lastRenderedPageBreak/>
              <w:t>conducción segura de la organización.  Cualquier cambio en las operaciones, incluidas las adquisiciones, tiene en cuenta los requisitos de conducción segura antes de llevarse a cabo.</w:t>
            </w:r>
          </w:p>
        </w:tc>
        <w:tc>
          <w:tcPr>
            <w:tcW w:w="799" w:type="dxa"/>
          </w:tcPr>
          <w:p w14:paraId="6CD41CB4" w14:textId="77777777" w:rsidR="00FC3DAD" w:rsidRDefault="00FC3DAD"/>
        </w:tc>
      </w:tr>
      <w:tr w:rsidR="00FC3DAD" w:rsidRPr="003F3990" w14:paraId="47772A9A" w14:textId="77777777" w:rsidTr="00FC3DAD">
        <w:tc>
          <w:tcPr>
            <w:tcW w:w="9016" w:type="dxa"/>
            <w:gridSpan w:val="3"/>
            <w:vAlign w:val="center"/>
          </w:tcPr>
          <w:p w14:paraId="6E1F7277" w14:textId="216E186B" w:rsidR="00FC3DAD" w:rsidRPr="003F3990" w:rsidRDefault="00FC3DAD" w:rsidP="00FC3DAD">
            <w:pPr>
              <w:rPr>
                <w:b/>
                <w:bCs/>
                <w:color w:val="1E69AA"/>
              </w:rPr>
            </w:pPr>
            <w:r>
              <w:rPr>
                <w:b/>
                <w:bCs/>
                <w:color w:val="1E69AA"/>
              </w:rPr>
              <w:lastRenderedPageBreak/>
              <w:t>Supervisión del Conductor</w:t>
            </w:r>
          </w:p>
        </w:tc>
      </w:tr>
      <w:tr w:rsidR="00FC3DAD" w14:paraId="79DA9A0A" w14:textId="77777777" w:rsidTr="00FC3DAD">
        <w:tc>
          <w:tcPr>
            <w:tcW w:w="3005" w:type="dxa"/>
            <w:vAlign w:val="center"/>
          </w:tcPr>
          <w:p w14:paraId="513730F1" w14:textId="4F7E6032" w:rsidR="00FC3DAD" w:rsidRPr="00FC3DAD" w:rsidRDefault="00FC3DAD" w:rsidP="00FC3DAD">
            <w:r>
              <w:t>Seguimiento del conductor</w:t>
            </w:r>
          </w:p>
        </w:tc>
        <w:tc>
          <w:tcPr>
            <w:tcW w:w="5212" w:type="dxa"/>
          </w:tcPr>
          <w:p w14:paraId="4D5D6225" w14:textId="2E7800F5" w:rsidR="00FC3DAD" w:rsidRPr="00FC3DAD" w:rsidRDefault="00FC3DAD">
            <w:r>
              <w:t>Todos los conductores, incluidos los conductores de la Flota Gris, son supervisados de manera rutinaria y transparente mediante el uso de datos de telemetría, unidades acompañadas, informes públicos de mala conducción observada, análisis de registros (combustible, mantenimiento, teléfono móvil) según corresponda.</w:t>
            </w:r>
          </w:p>
        </w:tc>
        <w:tc>
          <w:tcPr>
            <w:tcW w:w="799" w:type="dxa"/>
          </w:tcPr>
          <w:p w14:paraId="128B020E" w14:textId="77777777" w:rsidR="00FC3DAD" w:rsidRDefault="00FC3DAD"/>
        </w:tc>
      </w:tr>
      <w:tr w:rsidR="00FC3DAD" w:rsidRPr="003F3990" w14:paraId="452BEEEC" w14:textId="77777777" w:rsidTr="00FC3DAD">
        <w:tc>
          <w:tcPr>
            <w:tcW w:w="9016" w:type="dxa"/>
            <w:gridSpan w:val="3"/>
            <w:vAlign w:val="center"/>
          </w:tcPr>
          <w:p w14:paraId="61D1B57A" w14:textId="51F90502" w:rsidR="00FC3DAD" w:rsidRPr="003F3990" w:rsidRDefault="00FC3DAD" w:rsidP="00FC3DAD">
            <w:pPr>
              <w:rPr>
                <w:b/>
                <w:bCs/>
                <w:color w:val="1E69AA"/>
              </w:rPr>
            </w:pPr>
            <w:r>
              <w:rPr>
                <w:b/>
                <w:bCs/>
                <w:color w:val="1E69AA"/>
              </w:rPr>
              <w:t>Selección del Conductor</w:t>
            </w:r>
          </w:p>
        </w:tc>
      </w:tr>
      <w:tr w:rsidR="00FC3DAD" w14:paraId="1817C23B" w14:textId="77777777" w:rsidTr="00FC3DAD">
        <w:tc>
          <w:tcPr>
            <w:tcW w:w="3005" w:type="dxa"/>
            <w:vAlign w:val="center"/>
          </w:tcPr>
          <w:p w14:paraId="24E44E86" w14:textId="058089F1" w:rsidR="00FC3DAD" w:rsidRPr="00FC3DAD" w:rsidRDefault="00FC3DAD" w:rsidP="00FC3DAD">
            <w:r>
              <w:t>Reclutamiento</w:t>
            </w:r>
          </w:p>
        </w:tc>
        <w:tc>
          <w:tcPr>
            <w:tcW w:w="5212" w:type="dxa"/>
          </w:tcPr>
          <w:p w14:paraId="65A52EA3" w14:textId="647BB527" w:rsidR="00FC3DAD" w:rsidRPr="00FC3DAD" w:rsidRDefault="00FC3DAD">
            <w:r>
              <w:t>Las expectativas de conducción segura se incluyen en todos los procesos de reclutamiento para todos los roles que pueden requerir que el empleado realice viajes por carretera relacionados con el trabajo.  Se verifica el historial de antecedentes de todos los candidatos durante y/o antes de la entrevista.  El historial de antecedentes de todos los candidatos se incluye como criterio de selección.</w:t>
            </w:r>
          </w:p>
        </w:tc>
        <w:tc>
          <w:tcPr>
            <w:tcW w:w="799" w:type="dxa"/>
          </w:tcPr>
          <w:p w14:paraId="0CFB19C1" w14:textId="77777777" w:rsidR="00FC3DAD" w:rsidRDefault="00FC3DAD"/>
        </w:tc>
      </w:tr>
      <w:tr w:rsidR="00FC3DAD" w14:paraId="06B226BD" w14:textId="77777777" w:rsidTr="00FC3DAD">
        <w:tc>
          <w:tcPr>
            <w:tcW w:w="3005" w:type="dxa"/>
            <w:vAlign w:val="center"/>
          </w:tcPr>
          <w:p w14:paraId="76463444" w14:textId="7B005411" w:rsidR="00FC3DAD" w:rsidRPr="00FC3DAD" w:rsidRDefault="00FC3DAD" w:rsidP="00FC3DAD">
            <w:r>
              <w:t>Introducción</w:t>
            </w:r>
          </w:p>
        </w:tc>
        <w:tc>
          <w:tcPr>
            <w:tcW w:w="5212" w:type="dxa"/>
          </w:tcPr>
          <w:p w14:paraId="7E500099" w14:textId="07487C91" w:rsidR="00FC3DAD" w:rsidRPr="00FC3DAD" w:rsidRDefault="00FC3DAD">
            <w:r>
              <w:t>Las expectativas relacionadas con la conducción segura, inclu</w:t>
            </w:r>
            <w:r w:rsidR="005C6076">
              <w:t>yendo</w:t>
            </w:r>
            <w:r>
              <w:t xml:space="preserve"> una revisión de todas las políticas, procedimientos y prácticas relevantes, se cubren en profundidad durante el proceso de introducción.  El empleado debe demostrar que ha entendido todos los elementos clave.  El empleado no puede realizar viajes por carretera relacionados con el trabajo hasta que haya completado con éxito todo el proceso de introducción relevante y esté acompañado en sus viajes iniciales hasta que se apruebe como competente.</w:t>
            </w:r>
          </w:p>
        </w:tc>
        <w:tc>
          <w:tcPr>
            <w:tcW w:w="799" w:type="dxa"/>
          </w:tcPr>
          <w:p w14:paraId="5E33DD00" w14:textId="77777777" w:rsidR="00FC3DAD" w:rsidRDefault="00FC3DAD"/>
        </w:tc>
      </w:tr>
      <w:tr w:rsidR="00FC3DAD" w14:paraId="350131F1" w14:textId="77777777" w:rsidTr="00FB6BC7">
        <w:tc>
          <w:tcPr>
            <w:tcW w:w="9016" w:type="dxa"/>
            <w:gridSpan w:val="3"/>
            <w:vAlign w:val="center"/>
          </w:tcPr>
          <w:p w14:paraId="69E5EEA5" w14:textId="77777777" w:rsidR="00FC3DAD" w:rsidRDefault="00FC3DAD"/>
        </w:tc>
      </w:tr>
      <w:tr w:rsidR="003F3990" w:rsidRPr="003F3990" w14:paraId="3DBA25CF" w14:textId="77777777" w:rsidTr="003F3990">
        <w:trPr>
          <w:trHeight w:val="567"/>
        </w:trPr>
        <w:tc>
          <w:tcPr>
            <w:tcW w:w="9016" w:type="dxa"/>
            <w:gridSpan w:val="3"/>
            <w:shd w:val="clear" w:color="auto" w:fill="1B8C89"/>
            <w:vAlign w:val="center"/>
          </w:tcPr>
          <w:p w14:paraId="1D8CCDA6" w14:textId="18DCC050" w:rsidR="00FC3DAD" w:rsidRPr="003F3990" w:rsidRDefault="00FC3DAD" w:rsidP="00FC3DAD">
            <w:pPr>
              <w:jc w:val="center"/>
              <w:rPr>
                <w:color w:val="FFFFFF" w:themeColor="background1"/>
              </w:rPr>
            </w:pPr>
            <w:r>
              <w:rPr>
                <w:b/>
                <w:bCs/>
                <w:color w:val="FFFFFF" w:themeColor="background1"/>
                <w:sz w:val="28"/>
                <w:szCs w:val="28"/>
              </w:rPr>
              <w:t>Políticas y Procedimientos</w:t>
            </w:r>
          </w:p>
        </w:tc>
      </w:tr>
      <w:tr w:rsidR="00FC3DAD" w14:paraId="35312E89" w14:textId="77777777" w:rsidTr="00FC3DAD">
        <w:tc>
          <w:tcPr>
            <w:tcW w:w="3005" w:type="dxa"/>
            <w:vAlign w:val="center"/>
          </w:tcPr>
          <w:p w14:paraId="43363360" w14:textId="4CE8EE22" w:rsidR="00FC3DAD" w:rsidRPr="00FC3DAD" w:rsidRDefault="00FC3DAD" w:rsidP="00FC3DAD">
            <w:r>
              <w:rPr>
                <w:b/>
                <w:bCs/>
              </w:rPr>
              <w:t>Tema</w:t>
            </w:r>
          </w:p>
        </w:tc>
        <w:tc>
          <w:tcPr>
            <w:tcW w:w="5212" w:type="dxa"/>
          </w:tcPr>
          <w:p w14:paraId="115DB4A8" w14:textId="1F0474C8" w:rsidR="00FC3DAD" w:rsidRPr="00FC3DAD" w:rsidRDefault="00FC3DAD" w:rsidP="00FC3DAD">
            <w:r>
              <w:rPr>
                <w:b/>
                <w:bCs/>
              </w:rPr>
              <w:t>Detalle</w:t>
            </w:r>
          </w:p>
        </w:tc>
        <w:tc>
          <w:tcPr>
            <w:tcW w:w="799" w:type="dxa"/>
          </w:tcPr>
          <w:p w14:paraId="52E84F25" w14:textId="0900DBC0" w:rsidR="00FC3DAD" w:rsidRDefault="00FC3DAD" w:rsidP="00FC3DAD">
            <w:r>
              <w:rPr>
                <w:b/>
                <w:bCs/>
              </w:rPr>
              <w:t>Puntuación</w:t>
            </w:r>
          </w:p>
        </w:tc>
      </w:tr>
      <w:tr w:rsidR="00FC3DAD" w:rsidRPr="003F3990" w14:paraId="6B090810" w14:textId="77777777" w:rsidTr="0078445A">
        <w:tc>
          <w:tcPr>
            <w:tcW w:w="9016" w:type="dxa"/>
            <w:gridSpan w:val="3"/>
            <w:vAlign w:val="center"/>
          </w:tcPr>
          <w:p w14:paraId="2C9BAB58" w14:textId="019D1461" w:rsidR="00FC3DAD" w:rsidRPr="003F3990" w:rsidRDefault="00FC3DAD" w:rsidP="00FC3DAD">
            <w:pPr>
              <w:rPr>
                <w:b/>
                <w:bCs/>
                <w:color w:val="1E69AA"/>
              </w:rPr>
            </w:pPr>
            <w:r>
              <w:rPr>
                <w:b/>
                <w:bCs/>
                <w:color w:val="1E69AA"/>
              </w:rPr>
              <w:t>Conducción en el Trabajo / Política de Seguridad de la Flota</w:t>
            </w:r>
          </w:p>
        </w:tc>
      </w:tr>
      <w:tr w:rsidR="00FC3DAD" w14:paraId="6534F64C" w14:textId="77777777" w:rsidTr="00FC3DAD">
        <w:tc>
          <w:tcPr>
            <w:tcW w:w="3005" w:type="dxa"/>
            <w:vAlign w:val="center"/>
          </w:tcPr>
          <w:p w14:paraId="54823440" w14:textId="45F37273" w:rsidR="00FC3DAD" w:rsidRPr="00FC3DAD" w:rsidRDefault="00FC3DAD" w:rsidP="00FC3DAD">
            <w:r>
              <w:t>Política de gestión de riesgos viales relacionados con el trabajo</w:t>
            </w:r>
          </w:p>
        </w:tc>
        <w:tc>
          <w:tcPr>
            <w:tcW w:w="5212" w:type="dxa"/>
          </w:tcPr>
          <w:p w14:paraId="221B649A" w14:textId="0A13E154" w:rsidR="00FC3DAD" w:rsidRPr="00FC3DAD" w:rsidRDefault="00FC3DAD" w:rsidP="00FC3DAD">
            <w:r>
              <w:t>Existe una política integral, revisada y actualizada anualmente.</w:t>
            </w:r>
          </w:p>
        </w:tc>
        <w:tc>
          <w:tcPr>
            <w:tcW w:w="799" w:type="dxa"/>
          </w:tcPr>
          <w:p w14:paraId="0FEF2A43" w14:textId="77777777" w:rsidR="00FC3DAD" w:rsidRPr="00FC3DAD" w:rsidRDefault="00FC3DAD" w:rsidP="00FC3DAD">
            <w:pPr>
              <w:rPr>
                <w:b/>
                <w:bCs/>
              </w:rPr>
            </w:pPr>
          </w:p>
        </w:tc>
      </w:tr>
      <w:tr w:rsidR="00FC3DAD" w14:paraId="10366180" w14:textId="77777777" w:rsidTr="00FC3DAD">
        <w:tc>
          <w:tcPr>
            <w:tcW w:w="3005" w:type="dxa"/>
            <w:vAlign w:val="center"/>
          </w:tcPr>
          <w:p w14:paraId="41F7D23E" w14:textId="7FE52F0E" w:rsidR="00FC3DAD" w:rsidRPr="00FC3DAD" w:rsidRDefault="00FC3DAD" w:rsidP="00FC3DAD">
            <w:r>
              <w:t>Legislación</w:t>
            </w:r>
          </w:p>
        </w:tc>
        <w:tc>
          <w:tcPr>
            <w:tcW w:w="5212" w:type="dxa"/>
          </w:tcPr>
          <w:p w14:paraId="5B497E65" w14:textId="577E19BE" w:rsidR="00FC3DAD" w:rsidRPr="00FC3DAD" w:rsidRDefault="00FC3DAD" w:rsidP="00FC3DAD">
            <w:r>
              <w:t>La política cumple totalmente con la legislación local, en todas las áreas de operación, y establece claramente las expectativas con las que debe cumplir el empleado.</w:t>
            </w:r>
          </w:p>
        </w:tc>
        <w:tc>
          <w:tcPr>
            <w:tcW w:w="799" w:type="dxa"/>
          </w:tcPr>
          <w:p w14:paraId="2D82DBC8" w14:textId="77777777" w:rsidR="00FC3DAD" w:rsidRPr="00FC3DAD" w:rsidRDefault="00FC3DAD" w:rsidP="00FC3DAD">
            <w:pPr>
              <w:rPr>
                <w:b/>
                <w:bCs/>
              </w:rPr>
            </w:pPr>
          </w:p>
        </w:tc>
      </w:tr>
      <w:tr w:rsidR="00FC3DAD" w:rsidRPr="003F3990" w14:paraId="6BC95ACA" w14:textId="77777777" w:rsidTr="00436C6B">
        <w:tc>
          <w:tcPr>
            <w:tcW w:w="9016" w:type="dxa"/>
            <w:gridSpan w:val="3"/>
            <w:vAlign w:val="center"/>
          </w:tcPr>
          <w:p w14:paraId="24CD1C74" w14:textId="176900BC" w:rsidR="00FC3DAD" w:rsidRPr="003F3990" w:rsidRDefault="00FC3DAD" w:rsidP="00FC3DAD">
            <w:pPr>
              <w:rPr>
                <w:b/>
                <w:bCs/>
                <w:color w:val="1E69AA"/>
              </w:rPr>
            </w:pPr>
            <w:r>
              <w:rPr>
                <w:b/>
                <w:bCs/>
                <w:color w:val="1E69AA"/>
              </w:rPr>
              <w:t>Política de Conducción Distraída</w:t>
            </w:r>
          </w:p>
        </w:tc>
      </w:tr>
      <w:tr w:rsidR="00FC3DAD" w14:paraId="6D5B171A" w14:textId="77777777" w:rsidTr="00FC3DAD">
        <w:tc>
          <w:tcPr>
            <w:tcW w:w="3005" w:type="dxa"/>
            <w:vAlign w:val="center"/>
          </w:tcPr>
          <w:p w14:paraId="7B70F273" w14:textId="4CD89E50" w:rsidR="00FC3DAD" w:rsidRPr="00FC3DAD" w:rsidRDefault="001F1A7D" w:rsidP="00FC3DAD">
            <w:r>
              <w:t>El uso de teléfonos móviles</w:t>
            </w:r>
          </w:p>
        </w:tc>
        <w:tc>
          <w:tcPr>
            <w:tcW w:w="5212" w:type="dxa"/>
          </w:tcPr>
          <w:p w14:paraId="37122D53" w14:textId="7FAF7900" w:rsidR="00FC3DAD" w:rsidRPr="00FC3DAD" w:rsidRDefault="001F1A7D" w:rsidP="00FC3DAD">
            <w:r>
              <w:t xml:space="preserve">No se permite el uso de teléfonos móviles mientras se conduce, incluido el sistema de manos libres, y se realiza una revisión para verificar el cumplimiento. Los conductores nunca deben usar su </w:t>
            </w:r>
            <w:proofErr w:type="spellStart"/>
            <w:r>
              <w:t>smartphone</w:t>
            </w:r>
            <w:proofErr w:type="spellEnd"/>
            <w:r>
              <w:t xml:space="preserve"> para otra cosa que no sea navegación (si está permitido en la política) mientras conducen.</w:t>
            </w:r>
          </w:p>
        </w:tc>
        <w:tc>
          <w:tcPr>
            <w:tcW w:w="799" w:type="dxa"/>
          </w:tcPr>
          <w:p w14:paraId="4F619341" w14:textId="77777777" w:rsidR="00FC3DAD" w:rsidRPr="00FC3DAD" w:rsidRDefault="00FC3DAD" w:rsidP="00FC3DAD">
            <w:pPr>
              <w:rPr>
                <w:b/>
                <w:bCs/>
              </w:rPr>
            </w:pPr>
          </w:p>
        </w:tc>
      </w:tr>
      <w:tr w:rsidR="001F1A7D" w14:paraId="662ED5D8" w14:textId="77777777" w:rsidTr="00FC3DAD">
        <w:tc>
          <w:tcPr>
            <w:tcW w:w="3005" w:type="dxa"/>
            <w:vAlign w:val="center"/>
          </w:tcPr>
          <w:p w14:paraId="0CE95FEE" w14:textId="1A5B79E7" w:rsidR="001F1A7D" w:rsidRPr="001F1A7D" w:rsidRDefault="001F1A7D" w:rsidP="00FC3DAD">
            <w:r>
              <w:lastRenderedPageBreak/>
              <w:t>Otras distracciones</w:t>
            </w:r>
          </w:p>
        </w:tc>
        <w:tc>
          <w:tcPr>
            <w:tcW w:w="5212" w:type="dxa"/>
          </w:tcPr>
          <w:p w14:paraId="7011EFB2" w14:textId="353406ED" w:rsidR="001F1A7D" w:rsidRPr="001F1A7D" w:rsidRDefault="001F1A7D" w:rsidP="00FC3DAD">
            <w:r>
              <w:t>El uso de cualquier material potencialmente distractor no está permitido mientras se conduce, con revisiones para verificar el cumplimiento.</w:t>
            </w:r>
          </w:p>
        </w:tc>
        <w:tc>
          <w:tcPr>
            <w:tcW w:w="799" w:type="dxa"/>
          </w:tcPr>
          <w:p w14:paraId="7B256F61" w14:textId="77777777" w:rsidR="001F1A7D" w:rsidRPr="00FC3DAD" w:rsidRDefault="001F1A7D" w:rsidP="00FC3DAD">
            <w:pPr>
              <w:rPr>
                <w:b/>
                <w:bCs/>
              </w:rPr>
            </w:pPr>
          </w:p>
        </w:tc>
      </w:tr>
      <w:tr w:rsidR="001F1A7D" w:rsidRPr="003F3990" w14:paraId="4BFCB062" w14:textId="77777777" w:rsidTr="008952B4">
        <w:tc>
          <w:tcPr>
            <w:tcW w:w="9016" w:type="dxa"/>
            <w:gridSpan w:val="3"/>
            <w:vAlign w:val="center"/>
          </w:tcPr>
          <w:p w14:paraId="22E87C7E" w14:textId="7B16149C" w:rsidR="001F1A7D" w:rsidRPr="003F3990" w:rsidRDefault="001F1A7D" w:rsidP="00FC3DAD">
            <w:pPr>
              <w:rPr>
                <w:b/>
                <w:bCs/>
                <w:color w:val="1E69AA"/>
              </w:rPr>
            </w:pPr>
            <w:r>
              <w:rPr>
                <w:b/>
                <w:bCs/>
                <w:color w:val="1E69AA"/>
              </w:rPr>
              <w:t>Política de Gestión del Cansancio</w:t>
            </w:r>
          </w:p>
        </w:tc>
      </w:tr>
      <w:tr w:rsidR="001F1A7D" w14:paraId="25CA9A20" w14:textId="77777777" w:rsidTr="00FC3DAD">
        <w:tc>
          <w:tcPr>
            <w:tcW w:w="3005" w:type="dxa"/>
            <w:vAlign w:val="center"/>
          </w:tcPr>
          <w:p w14:paraId="515EA47C" w14:textId="1DCA021E" w:rsidR="001F1A7D" w:rsidRPr="001F1A7D" w:rsidRDefault="001F1A7D" w:rsidP="00FC3DAD">
            <w:r>
              <w:t>Número total de horas de trabajo</w:t>
            </w:r>
          </w:p>
        </w:tc>
        <w:tc>
          <w:tcPr>
            <w:tcW w:w="5212" w:type="dxa"/>
          </w:tcPr>
          <w:p w14:paraId="36D9085B" w14:textId="723BC5FB" w:rsidR="001F1A7D" w:rsidRPr="001F1A7D" w:rsidRDefault="001F1A7D" w:rsidP="00FC3DAD">
            <w:r>
              <w:t>Existe una política que limita la duración total de la jornada laboral, incluida la conducción y los desplazamientos, con una auditoría de seguimiento para demostrar el cumplimiento.</w:t>
            </w:r>
          </w:p>
        </w:tc>
        <w:tc>
          <w:tcPr>
            <w:tcW w:w="799" w:type="dxa"/>
          </w:tcPr>
          <w:p w14:paraId="3F2266B2" w14:textId="77777777" w:rsidR="001F1A7D" w:rsidRPr="00FC3DAD" w:rsidRDefault="001F1A7D" w:rsidP="00FC3DAD">
            <w:pPr>
              <w:rPr>
                <w:b/>
                <w:bCs/>
              </w:rPr>
            </w:pPr>
          </w:p>
        </w:tc>
      </w:tr>
      <w:tr w:rsidR="001F1A7D" w14:paraId="080B74C9" w14:textId="77777777" w:rsidTr="00FC3DAD">
        <w:tc>
          <w:tcPr>
            <w:tcW w:w="3005" w:type="dxa"/>
            <w:vAlign w:val="center"/>
          </w:tcPr>
          <w:p w14:paraId="34896A44" w14:textId="7B7A95DA" w:rsidR="001F1A7D" w:rsidRPr="001F1A7D" w:rsidRDefault="001F1A7D" w:rsidP="00FC3DAD">
            <w:r>
              <w:t>Descansos</w:t>
            </w:r>
          </w:p>
        </w:tc>
        <w:tc>
          <w:tcPr>
            <w:tcW w:w="5212" w:type="dxa"/>
          </w:tcPr>
          <w:p w14:paraId="16BE7983" w14:textId="4FF8CA9C" w:rsidR="001F1A7D" w:rsidRPr="001F1A7D" w:rsidRDefault="001F1A7D" w:rsidP="00FC3DAD">
            <w:r>
              <w:t>Los conductores tienen que tomarse un descanso cada 2 horas de conducción, o antes si comienzan a sentirse cansados, con una auditoría de seguimiento para demostrar el cumplimiento.</w:t>
            </w:r>
          </w:p>
        </w:tc>
        <w:tc>
          <w:tcPr>
            <w:tcW w:w="799" w:type="dxa"/>
          </w:tcPr>
          <w:p w14:paraId="24486305" w14:textId="77777777" w:rsidR="001F1A7D" w:rsidRPr="00FC3DAD" w:rsidRDefault="001F1A7D" w:rsidP="00FC3DAD">
            <w:pPr>
              <w:rPr>
                <w:b/>
                <w:bCs/>
              </w:rPr>
            </w:pPr>
          </w:p>
        </w:tc>
      </w:tr>
      <w:tr w:rsidR="001F1A7D" w:rsidRPr="003F3990" w14:paraId="1C4DAF20" w14:textId="77777777" w:rsidTr="00EE510B">
        <w:tc>
          <w:tcPr>
            <w:tcW w:w="9016" w:type="dxa"/>
            <w:gridSpan w:val="3"/>
            <w:vAlign w:val="center"/>
          </w:tcPr>
          <w:p w14:paraId="37FDBD23" w14:textId="6C02F64A" w:rsidR="001F1A7D" w:rsidRPr="003F3990" w:rsidRDefault="001F1A7D" w:rsidP="00FC3DAD">
            <w:pPr>
              <w:rPr>
                <w:b/>
                <w:bCs/>
                <w:color w:val="1E69AA"/>
              </w:rPr>
            </w:pPr>
            <w:r>
              <w:rPr>
                <w:b/>
                <w:bCs/>
                <w:color w:val="1E69AA"/>
              </w:rPr>
              <w:t>Política de consumo de Alcohol y Drogas</w:t>
            </w:r>
          </w:p>
        </w:tc>
      </w:tr>
      <w:tr w:rsidR="001F1A7D" w14:paraId="159F6C37" w14:textId="77777777" w:rsidTr="00FC3DAD">
        <w:tc>
          <w:tcPr>
            <w:tcW w:w="3005" w:type="dxa"/>
            <w:vAlign w:val="center"/>
          </w:tcPr>
          <w:p w14:paraId="6EE360B9" w14:textId="1702E076" w:rsidR="001F1A7D" w:rsidRPr="001F1A7D" w:rsidRDefault="001F1A7D" w:rsidP="00FC3DAD">
            <w:r>
              <w:t>Política de consumo de Alcohol y Drogas</w:t>
            </w:r>
          </w:p>
        </w:tc>
        <w:tc>
          <w:tcPr>
            <w:tcW w:w="5212" w:type="dxa"/>
          </w:tcPr>
          <w:p w14:paraId="24028C60" w14:textId="76113FCC" w:rsidR="001F1A7D" w:rsidRPr="001F1A7D" w:rsidRDefault="001F1A7D" w:rsidP="00FC3DAD">
            <w:r>
              <w:t>Existe una política integral que tiene tolerancia cero a cualquier tipo de alcohol o drogas recreativas en el sistema de cualquier conductor, independientemente de la legislación local. El uso de medicamentos, ya sean recetados o no, también está cubierto por la política en relación con aquellos medicamentos que pueden aumentar el riesgo de que el conductor se vea involucrado en un accidente (p. ej. aquellos que pueden causar somnolencia).</w:t>
            </w:r>
          </w:p>
        </w:tc>
        <w:tc>
          <w:tcPr>
            <w:tcW w:w="799" w:type="dxa"/>
          </w:tcPr>
          <w:p w14:paraId="10CFF966" w14:textId="77777777" w:rsidR="001F1A7D" w:rsidRPr="00FC3DAD" w:rsidRDefault="001F1A7D" w:rsidP="00FC3DAD">
            <w:pPr>
              <w:rPr>
                <w:b/>
                <w:bCs/>
              </w:rPr>
            </w:pPr>
          </w:p>
        </w:tc>
      </w:tr>
      <w:tr w:rsidR="001F1A7D" w:rsidRPr="003F3990" w14:paraId="354DC0A4" w14:textId="77777777" w:rsidTr="00BE002A">
        <w:tc>
          <w:tcPr>
            <w:tcW w:w="9016" w:type="dxa"/>
            <w:gridSpan w:val="3"/>
            <w:vAlign w:val="center"/>
          </w:tcPr>
          <w:p w14:paraId="1EAEDC7F" w14:textId="7BF6C4D5" w:rsidR="001F1A7D" w:rsidRPr="003F3990" w:rsidRDefault="001F1A7D" w:rsidP="00FC3DAD">
            <w:pPr>
              <w:rPr>
                <w:b/>
                <w:bCs/>
                <w:color w:val="1E69AA"/>
              </w:rPr>
            </w:pPr>
            <w:r>
              <w:rPr>
                <w:b/>
                <w:bCs/>
                <w:color w:val="1E69AA"/>
              </w:rPr>
              <w:t>Problemas de vista</w:t>
            </w:r>
          </w:p>
        </w:tc>
      </w:tr>
      <w:tr w:rsidR="001F1A7D" w14:paraId="0CBC5033" w14:textId="77777777" w:rsidTr="00FC3DAD">
        <w:tc>
          <w:tcPr>
            <w:tcW w:w="3005" w:type="dxa"/>
            <w:vAlign w:val="center"/>
          </w:tcPr>
          <w:p w14:paraId="0323651E" w14:textId="43475D39" w:rsidR="001F1A7D" w:rsidRPr="001F1A7D" w:rsidRDefault="001F1A7D" w:rsidP="00FC3DAD">
            <w:r>
              <w:t>Examinación de la vista</w:t>
            </w:r>
          </w:p>
        </w:tc>
        <w:tc>
          <w:tcPr>
            <w:tcW w:w="5212" w:type="dxa"/>
          </w:tcPr>
          <w:p w14:paraId="7FEAD463" w14:textId="770138BF" w:rsidR="001F1A7D" w:rsidRPr="001F1A7D" w:rsidRDefault="001F1A7D" w:rsidP="00FC3DAD">
            <w:r>
              <w:t>Todos los empleados que realizan viajes por carretera relacionados con el trabajo, incluidos los conductores de la Flota Gris, reciben pruebas de visión al menos una vez cada 2 años, con una auditoría de seguimiento.</w:t>
            </w:r>
          </w:p>
        </w:tc>
        <w:tc>
          <w:tcPr>
            <w:tcW w:w="799" w:type="dxa"/>
          </w:tcPr>
          <w:p w14:paraId="6EE2C569" w14:textId="77777777" w:rsidR="001F1A7D" w:rsidRPr="00FC3DAD" w:rsidRDefault="001F1A7D" w:rsidP="00FC3DAD">
            <w:pPr>
              <w:rPr>
                <w:b/>
                <w:bCs/>
              </w:rPr>
            </w:pPr>
          </w:p>
        </w:tc>
      </w:tr>
      <w:tr w:rsidR="001F1A7D" w:rsidRPr="003F3990" w14:paraId="4DB06A45" w14:textId="77777777" w:rsidTr="00B12495">
        <w:tc>
          <w:tcPr>
            <w:tcW w:w="9016" w:type="dxa"/>
            <w:gridSpan w:val="3"/>
            <w:vAlign w:val="center"/>
          </w:tcPr>
          <w:p w14:paraId="7A0C8753" w14:textId="14DD4289" w:rsidR="001F1A7D" w:rsidRPr="003F3990" w:rsidRDefault="001F1A7D" w:rsidP="00FC3DAD">
            <w:pPr>
              <w:rPr>
                <w:b/>
                <w:bCs/>
                <w:color w:val="1E69AA"/>
              </w:rPr>
            </w:pPr>
            <w:r>
              <w:rPr>
                <w:b/>
                <w:bCs/>
                <w:color w:val="1E69AA"/>
              </w:rPr>
              <w:t>Bienestar del conductor</w:t>
            </w:r>
          </w:p>
        </w:tc>
      </w:tr>
      <w:tr w:rsidR="001F1A7D" w14:paraId="111A1E90" w14:textId="77777777" w:rsidTr="00FC3DAD">
        <w:tc>
          <w:tcPr>
            <w:tcW w:w="3005" w:type="dxa"/>
            <w:vAlign w:val="center"/>
          </w:tcPr>
          <w:p w14:paraId="4BF72110" w14:textId="5B1484D8" w:rsidR="001F1A7D" w:rsidRPr="001F1A7D" w:rsidRDefault="001F1A7D" w:rsidP="00FC3DAD">
            <w:r>
              <w:t>Examen médico</w:t>
            </w:r>
          </w:p>
        </w:tc>
        <w:tc>
          <w:tcPr>
            <w:tcW w:w="5212" w:type="dxa"/>
          </w:tcPr>
          <w:p w14:paraId="62BC3CF3" w14:textId="1D2742F7" w:rsidR="001F1A7D" w:rsidRPr="001F1A7D" w:rsidRDefault="001F1A7D" w:rsidP="00FC3DAD">
            <w:r>
              <w:t>La evaluación se proporciona para todos los empleados, incluidos los conductores de la Flota Gris, en la introducción y cada 3 años a partir de entonces, o con mayor frecuencia para cualquier empleado que, desde una perspectiva de salud, se identifique como "en riesgo".</w:t>
            </w:r>
          </w:p>
        </w:tc>
        <w:tc>
          <w:tcPr>
            <w:tcW w:w="799" w:type="dxa"/>
          </w:tcPr>
          <w:p w14:paraId="6A7B23D2" w14:textId="77777777" w:rsidR="001F1A7D" w:rsidRPr="00FC3DAD" w:rsidRDefault="001F1A7D" w:rsidP="00FC3DAD">
            <w:pPr>
              <w:rPr>
                <w:b/>
                <w:bCs/>
              </w:rPr>
            </w:pPr>
          </w:p>
        </w:tc>
      </w:tr>
      <w:tr w:rsidR="001F1A7D" w:rsidRPr="003F3990" w14:paraId="0B090E2F" w14:textId="77777777" w:rsidTr="007C3E56">
        <w:tc>
          <w:tcPr>
            <w:tcW w:w="9016" w:type="dxa"/>
            <w:gridSpan w:val="3"/>
            <w:vAlign w:val="center"/>
          </w:tcPr>
          <w:p w14:paraId="51CB9B13" w14:textId="173C0E96" w:rsidR="001F1A7D" w:rsidRPr="003F3990" w:rsidRDefault="001F1A7D" w:rsidP="00FC3DAD">
            <w:pPr>
              <w:rPr>
                <w:b/>
                <w:bCs/>
                <w:color w:val="1E69AA"/>
              </w:rPr>
            </w:pPr>
            <w:r>
              <w:rPr>
                <w:b/>
                <w:bCs/>
                <w:color w:val="1E69AA"/>
              </w:rPr>
              <w:t>Contratos de Trabajo</w:t>
            </w:r>
          </w:p>
        </w:tc>
      </w:tr>
      <w:tr w:rsidR="001F1A7D" w14:paraId="34A68B04" w14:textId="77777777" w:rsidTr="00FC3DAD">
        <w:tc>
          <w:tcPr>
            <w:tcW w:w="3005" w:type="dxa"/>
            <w:vAlign w:val="center"/>
          </w:tcPr>
          <w:p w14:paraId="4AF1837E" w14:textId="381FA77F" w:rsidR="001F1A7D" w:rsidRPr="001F1A7D" w:rsidRDefault="001F1A7D" w:rsidP="00FC3DAD">
            <w:r>
              <w:t>Vínculos del contrato del empleado</w:t>
            </w:r>
          </w:p>
        </w:tc>
        <w:tc>
          <w:tcPr>
            <w:tcW w:w="5212" w:type="dxa"/>
          </w:tcPr>
          <w:p w14:paraId="2E4E4D38" w14:textId="71905A6D" w:rsidR="001F1A7D" w:rsidRPr="001F1A7D" w:rsidRDefault="001F1A7D" w:rsidP="00FC3DAD">
            <w:r>
              <w:t>Los contratos de trabajo para todos los empleados, incluidos los conductores de la Flota Gris, se vinculan directamente con las políticas de conducción en el trabajo, para garantizar que haya una manera de administrar de manera efectiva el desempeño de los conductores en función de su ejecución de manejo seguro.</w:t>
            </w:r>
          </w:p>
        </w:tc>
        <w:tc>
          <w:tcPr>
            <w:tcW w:w="799" w:type="dxa"/>
          </w:tcPr>
          <w:p w14:paraId="0CF52C06" w14:textId="77777777" w:rsidR="001F1A7D" w:rsidRPr="00FC3DAD" w:rsidRDefault="001F1A7D" w:rsidP="00FC3DAD">
            <w:pPr>
              <w:rPr>
                <w:b/>
                <w:bCs/>
              </w:rPr>
            </w:pPr>
          </w:p>
        </w:tc>
      </w:tr>
      <w:tr w:rsidR="001F1A7D" w:rsidRPr="003F3990" w14:paraId="1CECA7F8" w14:textId="77777777" w:rsidTr="00CE7234">
        <w:tc>
          <w:tcPr>
            <w:tcW w:w="9016" w:type="dxa"/>
            <w:gridSpan w:val="3"/>
            <w:vAlign w:val="center"/>
          </w:tcPr>
          <w:p w14:paraId="47FF0196" w14:textId="1679721B" w:rsidR="001F1A7D" w:rsidRPr="003F3990" w:rsidRDefault="001F1A7D" w:rsidP="00FC3DAD">
            <w:pPr>
              <w:rPr>
                <w:b/>
                <w:bCs/>
                <w:color w:val="1E69AA"/>
              </w:rPr>
            </w:pPr>
            <w:r>
              <w:rPr>
                <w:b/>
                <w:bCs/>
                <w:color w:val="1E69AA"/>
              </w:rPr>
              <w:t>Gestión de la Velocidad</w:t>
            </w:r>
          </w:p>
        </w:tc>
      </w:tr>
      <w:tr w:rsidR="001F1A7D" w14:paraId="64EC84FD" w14:textId="77777777" w:rsidTr="00FC3DAD">
        <w:tc>
          <w:tcPr>
            <w:tcW w:w="3005" w:type="dxa"/>
            <w:vAlign w:val="center"/>
          </w:tcPr>
          <w:p w14:paraId="09811EF9" w14:textId="113B6E83" w:rsidR="001F1A7D" w:rsidRPr="001F1A7D" w:rsidRDefault="001F1A7D" w:rsidP="00FC3DAD">
            <w:r>
              <w:t>Exceso de velocidad</w:t>
            </w:r>
          </w:p>
        </w:tc>
        <w:tc>
          <w:tcPr>
            <w:tcW w:w="5212" w:type="dxa"/>
          </w:tcPr>
          <w:p w14:paraId="398DE164" w14:textId="4AE4493C" w:rsidR="001F1A7D" w:rsidRPr="001F1A7D" w:rsidRDefault="001F1A7D" w:rsidP="00FC3DAD">
            <w:r>
              <w:t xml:space="preserve">Existe una política formal sobre la conducción dentro de los límites de velocidad y a una velocidad adecuada para las condiciones prevalecientes de la carretera (p. ej. en condiciones climáticas adversas), con una auditoría de seguimiento que cubre a todos </w:t>
            </w:r>
            <w:r>
              <w:lastRenderedPageBreak/>
              <w:t>los empleados, incluidos los conductores de la Flota Gris.</w:t>
            </w:r>
          </w:p>
        </w:tc>
        <w:tc>
          <w:tcPr>
            <w:tcW w:w="799" w:type="dxa"/>
          </w:tcPr>
          <w:p w14:paraId="130C963E" w14:textId="77777777" w:rsidR="001F1A7D" w:rsidRPr="00FC3DAD" w:rsidRDefault="001F1A7D" w:rsidP="00FC3DAD">
            <w:pPr>
              <w:rPr>
                <w:b/>
                <w:bCs/>
              </w:rPr>
            </w:pPr>
          </w:p>
        </w:tc>
      </w:tr>
      <w:tr w:rsidR="001F1A7D" w:rsidRPr="003F3990" w14:paraId="1C7556A8" w14:textId="77777777" w:rsidTr="00CC6F96">
        <w:tc>
          <w:tcPr>
            <w:tcW w:w="9016" w:type="dxa"/>
            <w:gridSpan w:val="3"/>
            <w:vAlign w:val="center"/>
          </w:tcPr>
          <w:p w14:paraId="19F30E39" w14:textId="0A7207F8" w:rsidR="001F1A7D" w:rsidRPr="003F3990" w:rsidRDefault="001F1A7D" w:rsidP="00FC3DAD">
            <w:pPr>
              <w:rPr>
                <w:b/>
                <w:bCs/>
                <w:color w:val="1E69AA"/>
              </w:rPr>
            </w:pPr>
            <w:r>
              <w:rPr>
                <w:b/>
                <w:bCs/>
                <w:color w:val="1E69AA"/>
              </w:rPr>
              <w:lastRenderedPageBreak/>
              <w:t>Gestión de Política</w:t>
            </w:r>
          </w:p>
        </w:tc>
      </w:tr>
      <w:tr w:rsidR="001F1A7D" w14:paraId="3012C098" w14:textId="77777777" w:rsidTr="00FC3DAD">
        <w:tc>
          <w:tcPr>
            <w:tcW w:w="3005" w:type="dxa"/>
            <w:vAlign w:val="center"/>
          </w:tcPr>
          <w:p w14:paraId="7118B53E" w14:textId="751A47A4" w:rsidR="001F1A7D" w:rsidRPr="001F1A7D" w:rsidRDefault="001F1A7D" w:rsidP="00FC3DAD">
            <w:r>
              <w:t>Revisiones y actualizaciones</w:t>
            </w:r>
          </w:p>
        </w:tc>
        <w:tc>
          <w:tcPr>
            <w:tcW w:w="5212" w:type="dxa"/>
          </w:tcPr>
          <w:p w14:paraId="5BEE086D" w14:textId="7E174678" w:rsidR="001F1A7D" w:rsidRPr="001F1A7D" w:rsidRDefault="001F1A7D" w:rsidP="00FC3DAD">
            <w:r>
              <w:t>Las políticas se revisan y actualizan anualmente para tener en cuenta los cambios en las prácticas operativas, la gestión de la seguridad vial, los cambios en la legislación y las iniciativas de mejora continua.</w:t>
            </w:r>
          </w:p>
        </w:tc>
        <w:tc>
          <w:tcPr>
            <w:tcW w:w="799" w:type="dxa"/>
          </w:tcPr>
          <w:p w14:paraId="55C63602" w14:textId="77777777" w:rsidR="001F1A7D" w:rsidRPr="00FC3DAD" w:rsidRDefault="001F1A7D" w:rsidP="00FC3DAD">
            <w:pPr>
              <w:rPr>
                <w:b/>
                <w:bCs/>
              </w:rPr>
            </w:pPr>
          </w:p>
        </w:tc>
      </w:tr>
      <w:tr w:rsidR="001F1A7D" w:rsidRPr="003F3990" w14:paraId="40EE1D58" w14:textId="77777777" w:rsidTr="009A4E80">
        <w:tc>
          <w:tcPr>
            <w:tcW w:w="9016" w:type="dxa"/>
            <w:gridSpan w:val="3"/>
            <w:vAlign w:val="center"/>
          </w:tcPr>
          <w:p w14:paraId="5F545282" w14:textId="3E1ACAB6" w:rsidR="001F1A7D" w:rsidRPr="003F3990" w:rsidRDefault="001F1A7D" w:rsidP="00FC3DAD">
            <w:pPr>
              <w:rPr>
                <w:b/>
                <w:bCs/>
                <w:color w:val="1E69AA"/>
              </w:rPr>
            </w:pPr>
            <w:r>
              <w:rPr>
                <w:b/>
                <w:bCs/>
                <w:color w:val="1E69AA"/>
              </w:rPr>
              <w:t>Emergencias</w:t>
            </w:r>
          </w:p>
        </w:tc>
      </w:tr>
      <w:tr w:rsidR="001F1A7D" w14:paraId="2C266F92" w14:textId="77777777" w:rsidTr="00FC3DAD">
        <w:tc>
          <w:tcPr>
            <w:tcW w:w="3005" w:type="dxa"/>
            <w:vAlign w:val="center"/>
          </w:tcPr>
          <w:p w14:paraId="5B682917" w14:textId="55BECB9A" w:rsidR="001F1A7D" w:rsidRPr="001F1A7D" w:rsidRDefault="001F1A7D" w:rsidP="00FC3DAD">
            <w:r>
              <w:t>Accidentes</w:t>
            </w:r>
          </w:p>
        </w:tc>
        <w:tc>
          <w:tcPr>
            <w:tcW w:w="5212" w:type="dxa"/>
          </w:tcPr>
          <w:p w14:paraId="45FD30E5" w14:textId="0AD33546" w:rsidR="001F1A7D" w:rsidRPr="001F1A7D" w:rsidRDefault="001F1A7D" w:rsidP="00FC3DAD">
            <w:r>
              <w:t>Existe una política integral sobre qué hacer en el lugar de un accidente, aplicable a todos los empleados, incluidos los conductores de Flota Gris, centrada en la gestión de la seguridad del empleado, así como en lo que, desde una perspectiva administrativa, el empleado debe hacer (p. ej. capturar detalles sobre el accidente, llamar a su gerente, etc.).</w:t>
            </w:r>
          </w:p>
        </w:tc>
        <w:tc>
          <w:tcPr>
            <w:tcW w:w="799" w:type="dxa"/>
          </w:tcPr>
          <w:p w14:paraId="1D499D5B" w14:textId="77777777" w:rsidR="001F1A7D" w:rsidRPr="00FC3DAD" w:rsidRDefault="001F1A7D" w:rsidP="00FC3DAD">
            <w:pPr>
              <w:rPr>
                <w:b/>
                <w:bCs/>
              </w:rPr>
            </w:pPr>
          </w:p>
        </w:tc>
      </w:tr>
      <w:tr w:rsidR="001F1A7D" w14:paraId="4943994D" w14:textId="77777777" w:rsidTr="00FC3DAD">
        <w:tc>
          <w:tcPr>
            <w:tcW w:w="3005" w:type="dxa"/>
            <w:vAlign w:val="center"/>
          </w:tcPr>
          <w:p w14:paraId="3CB78A85" w14:textId="6F9186F9" w:rsidR="001F1A7D" w:rsidRPr="001F1A7D" w:rsidRDefault="001F1A7D" w:rsidP="00FC3DAD">
            <w:r>
              <w:t>Averías</w:t>
            </w:r>
          </w:p>
        </w:tc>
        <w:tc>
          <w:tcPr>
            <w:tcW w:w="5212" w:type="dxa"/>
          </w:tcPr>
          <w:p w14:paraId="6849F46B" w14:textId="7B2D2BE4" w:rsidR="001F1A7D" w:rsidRPr="001F1A7D" w:rsidRDefault="001F1A7D" w:rsidP="00FC3DAD">
            <w:r>
              <w:t xml:space="preserve">Existe una política integral sobre qué </w:t>
            </w:r>
            <w:r w:rsidR="005C6076">
              <w:t xml:space="preserve">hacer </w:t>
            </w:r>
            <w:r>
              <w:t>después de una avería, aplicable a todos los empleados, incluidos los conductores de Flota Gris, centrada en la gestión de la seguridad del empleado, así como en lo que, desde una perspectiva administrativa, el empleado debe hacer (p.ej. llamar a un servicio de asistencia técnica e informar a su gerente, etc.).</w:t>
            </w:r>
          </w:p>
        </w:tc>
        <w:tc>
          <w:tcPr>
            <w:tcW w:w="799" w:type="dxa"/>
          </w:tcPr>
          <w:p w14:paraId="7832A07B" w14:textId="77777777" w:rsidR="001F1A7D" w:rsidRPr="00FC3DAD" w:rsidRDefault="001F1A7D" w:rsidP="00FC3DAD">
            <w:pPr>
              <w:rPr>
                <w:b/>
                <w:bCs/>
              </w:rPr>
            </w:pPr>
          </w:p>
        </w:tc>
      </w:tr>
      <w:tr w:rsidR="001F1A7D" w:rsidRPr="003F3990" w14:paraId="3C7D0301" w14:textId="77777777" w:rsidTr="00AE17BF">
        <w:tc>
          <w:tcPr>
            <w:tcW w:w="9016" w:type="dxa"/>
            <w:gridSpan w:val="3"/>
            <w:vAlign w:val="center"/>
          </w:tcPr>
          <w:p w14:paraId="664D3F29" w14:textId="32D5AC0B" w:rsidR="001F1A7D" w:rsidRPr="003F3990" w:rsidRDefault="001F1A7D" w:rsidP="00FC3DAD">
            <w:pPr>
              <w:rPr>
                <w:b/>
                <w:bCs/>
                <w:color w:val="1E69AA"/>
              </w:rPr>
            </w:pPr>
            <w:r>
              <w:rPr>
                <w:b/>
                <w:bCs/>
                <w:color w:val="1E69AA"/>
              </w:rPr>
              <w:t>Propiedad</w:t>
            </w:r>
          </w:p>
        </w:tc>
      </w:tr>
      <w:tr w:rsidR="001F1A7D" w14:paraId="030D5F6E" w14:textId="77777777" w:rsidTr="00FC3DAD">
        <w:tc>
          <w:tcPr>
            <w:tcW w:w="3005" w:type="dxa"/>
            <w:vAlign w:val="center"/>
          </w:tcPr>
          <w:p w14:paraId="7590C503" w14:textId="747CC01B" w:rsidR="001F1A7D" w:rsidRPr="001F1A7D" w:rsidRDefault="001F1A7D" w:rsidP="00FC3DAD">
            <w:r>
              <w:t>Propietarios de política</w:t>
            </w:r>
          </w:p>
        </w:tc>
        <w:tc>
          <w:tcPr>
            <w:tcW w:w="5212" w:type="dxa"/>
          </w:tcPr>
          <w:p w14:paraId="4DE30A83" w14:textId="21AD8FA1" w:rsidR="001F1A7D" w:rsidRPr="001F1A7D" w:rsidRDefault="001F1A7D" w:rsidP="00FC3DAD">
            <w:r>
              <w:t>Todas las políticas pertenecen al miembro de la junta (o equivalente) responsable de la conducción segura.</w:t>
            </w:r>
          </w:p>
        </w:tc>
        <w:tc>
          <w:tcPr>
            <w:tcW w:w="799" w:type="dxa"/>
          </w:tcPr>
          <w:p w14:paraId="1A171856" w14:textId="77777777" w:rsidR="001F1A7D" w:rsidRPr="00FC3DAD" w:rsidRDefault="001F1A7D" w:rsidP="00FC3DAD">
            <w:pPr>
              <w:rPr>
                <w:b/>
                <w:bCs/>
              </w:rPr>
            </w:pPr>
          </w:p>
        </w:tc>
      </w:tr>
      <w:tr w:rsidR="001F1A7D" w:rsidRPr="003F3990" w14:paraId="546ED81A" w14:textId="77777777" w:rsidTr="000A43C1">
        <w:tc>
          <w:tcPr>
            <w:tcW w:w="9016" w:type="dxa"/>
            <w:gridSpan w:val="3"/>
            <w:vAlign w:val="center"/>
          </w:tcPr>
          <w:p w14:paraId="7CC2B38B" w14:textId="16803D08" w:rsidR="001F1A7D" w:rsidRPr="003F3990" w:rsidRDefault="001F1A7D" w:rsidP="00FC3DAD">
            <w:pPr>
              <w:rPr>
                <w:b/>
                <w:bCs/>
                <w:color w:val="1E69AA"/>
              </w:rPr>
            </w:pPr>
            <w:r>
              <w:rPr>
                <w:b/>
                <w:bCs/>
                <w:color w:val="1E69AA"/>
              </w:rPr>
              <w:t>Normas de conducción</w:t>
            </w:r>
          </w:p>
        </w:tc>
      </w:tr>
      <w:tr w:rsidR="001F1A7D" w14:paraId="6978C3EF" w14:textId="77777777" w:rsidTr="00FC3DAD">
        <w:tc>
          <w:tcPr>
            <w:tcW w:w="3005" w:type="dxa"/>
            <w:vAlign w:val="center"/>
          </w:tcPr>
          <w:p w14:paraId="063E9F54" w14:textId="6C7A9261" w:rsidR="001F1A7D" w:rsidRPr="001F1A7D" w:rsidRDefault="001F1A7D" w:rsidP="00FC3DAD">
            <w:r>
              <w:t>Marcha atrás</w:t>
            </w:r>
          </w:p>
        </w:tc>
        <w:tc>
          <w:tcPr>
            <w:tcW w:w="5212" w:type="dxa"/>
          </w:tcPr>
          <w:p w14:paraId="2B731995" w14:textId="004AF37B" w:rsidR="001F1A7D" w:rsidRPr="001F1A7D" w:rsidRDefault="001F1A7D" w:rsidP="00FC3DAD">
            <w:r>
              <w:t>Existe una política específica para ir marcha atrás, enfocada en eliminar la necesidad de dar marcha atrás siempre que sea posible, e incluir orientación específica sobre cómo dar marcha atrás de manera segura, el equipo requerido y también dónde se requiere el uso de compañeros capacitados (p. ej. un ayudante).</w:t>
            </w:r>
          </w:p>
        </w:tc>
        <w:tc>
          <w:tcPr>
            <w:tcW w:w="799" w:type="dxa"/>
          </w:tcPr>
          <w:p w14:paraId="79A92837" w14:textId="77777777" w:rsidR="001F1A7D" w:rsidRPr="00FC3DAD" w:rsidRDefault="001F1A7D" w:rsidP="00FC3DAD">
            <w:pPr>
              <w:rPr>
                <w:b/>
                <w:bCs/>
              </w:rPr>
            </w:pPr>
          </w:p>
        </w:tc>
      </w:tr>
      <w:tr w:rsidR="001F1A7D" w:rsidRPr="003F3990" w14:paraId="6C9B4B77" w14:textId="77777777" w:rsidTr="00B938A8">
        <w:tc>
          <w:tcPr>
            <w:tcW w:w="9016" w:type="dxa"/>
            <w:gridSpan w:val="3"/>
            <w:vAlign w:val="center"/>
          </w:tcPr>
          <w:p w14:paraId="7C29D9F3" w14:textId="39C515B7" w:rsidR="001F1A7D" w:rsidRPr="003F3990" w:rsidRDefault="001F1A7D" w:rsidP="00FC3DAD">
            <w:pPr>
              <w:rPr>
                <w:b/>
                <w:bCs/>
                <w:color w:val="1E69AA"/>
              </w:rPr>
            </w:pPr>
            <w:r>
              <w:rPr>
                <w:b/>
                <w:bCs/>
                <w:color w:val="1E69AA"/>
              </w:rPr>
              <w:t>Agencias y Conductores Temporales</w:t>
            </w:r>
          </w:p>
        </w:tc>
      </w:tr>
      <w:tr w:rsidR="001F1A7D" w14:paraId="490A6E41" w14:textId="77777777" w:rsidTr="00FC3DAD">
        <w:tc>
          <w:tcPr>
            <w:tcW w:w="3005" w:type="dxa"/>
            <w:vAlign w:val="center"/>
          </w:tcPr>
          <w:p w14:paraId="0C96F441" w14:textId="6C4AC062" w:rsidR="001F1A7D" w:rsidRPr="001F1A7D" w:rsidRDefault="001F1A7D" w:rsidP="00FC3DAD">
            <w:r>
              <w:t>Selección</w:t>
            </w:r>
          </w:p>
        </w:tc>
        <w:tc>
          <w:tcPr>
            <w:tcW w:w="5212" w:type="dxa"/>
          </w:tcPr>
          <w:p w14:paraId="1625067B" w14:textId="25535AC2" w:rsidR="001F1A7D" w:rsidRPr="001F1A7D" w:rsidRDefault="001F1A7D" w:rsidP="00FC3DAD">
            <w:r>
              <w:t>La selección de conductores de agencia se basa en los mismos criterios que para el personal a tiempo completo.  Las agencias se seleccionan en base a que puedan suministrar de manera confiable conductores que cumplan con estos criterios.</w:t>
            </w:r>
          </w:p>
        </w:tc>
        <w:tc>
          <w:tcPr>
            <w:tcW w:w="799" w:type="dxa"/>
          </w:tcPr>
          <w:p w14:paraId="25765E3F" w14:textId="77777777" w:rsidR="001F1A7D" w:rsidRPr="00FC3DAD" w:rsidRDefault="001F1A7D" w:rsidP="00FC3DAD">
            <w:pPr>
              <w:rPr>
                <w:b/>
                <w:bCs/>
              </w:rPr>
            </w:pPr>
          </w:p>
        </w:tc>
      </w:tr>
      <w:tr w:rsidR="001F1A7D" w:rsidRPr="003F3990" w14:paraId="04965218" w14:textId="77777777" w:rsidTr="00527075">
        <w:tc>
          <w:tcPr>
            <w:tcW w:w="9016" w:type="dxa"/>
            <w:gridSpan w:val="3"/>
            <w:vAlign w:val="center"/>
          </w:tcPr>
          <w:p w14:paraId="3D9E7FB7" w14:textId="0D8C958F" w:rsidR="001F1A7D" w:rsidRPr="003F3990" w:rsidRDefault="001F1A7D" w:rsidP="00FC3DAD">
            <w:pPr>
              <w:rPr>
                <w:b/>
                <w:bCs/>
                <w:color w:val="1E69AA"/>
              </w:rPr>
            </w:pPr>
            <w:r>
              <w:rPr>
                <w:b/>
                <w:bCs/>
                <w:color w:val="1E69AA"/>
              </w:rPr>
              <w:t>Gestión de la Flota Gris</w:t>
            </w:r>
          </w:p>
        </w:tc>
      </w:tr>
      <w:tr w:rsidR="001F1A7D" w14:paraId="0ACBB8F9" w14:textId="77777777" w:rsidTr="00FC3DAD">
        <w:tc>
          <w:tcPr>
            <w:tcW w:w="3005" w:type="dxa"/>
            <w:vAlign w:val="center"/>
          </w:tcPr>
          <w:p w14:paraId="5FFB7C41" w14:textId="43433C47" w:rsidR="001F1A7D" w:rsidRPr="001F1A7D" w:rsidRDefault="001F1A7D" w:rsidP="00FC3DAD">
            <w:r>
              <w:t>Objetivo</w:t>
            </w:r>
          </w:p>
        </w:tc>
        <w:tc>
          <w:tcPr>
            <w:tcW w:w="5212" w:type="dxa"/>
          </w:tcPr>
          <w:p w14:paraId="4DDAA8EC" w14:textId="0EF9BFFE" w:rsidR="001F1A7D" w:rsidRPr="001F1A7D" w:rsidRDefault="001F1A7D" w:rsidP="00FC3DAD">
            <w:r>
              <w:t>O hay empleados que NUNCA viajan en vehículos que no sean propiedad o estén administrados por la empresa o TODOS los empleados que VIAJEN por carretera por objetivos de trabajo están sujetos a la política.</w:t>
            </w:r>
          </w:p>
        </w:tc>
        <w:tc>
          <w:tcPr>
            <w:tcW w:w="799" w:type="dxa"/>
          </w:tcPr>
          <w:p w14:paraId="588F415F" w14:textId="77777777" w:rsidR="001F1A7D" w:rsidRPr="00FC3DAD" w:rsidRDefault="001F1A7D" w:rsidP="00FC3DAD">
            <w:pPr>
              <w:rPr>
                <w:b/>
                <w:bCs/>
              </w:rPr>
            </w:pPr>
          </w:p>
        </w:tc>
      </w:tr>
      <w:tr w:rsidR="001F1A7D" w14:paraId="0903D7C8" w14:textId="77777777" w:rsidTr="00FC3DAD">
        <w:tc>
          <w:tcPr>
            <w:tcW w:w="3005" w:type="dxa"/>
            <w:vAlign w:val="center"/>
          </w:tcPr>
          <w:p w14:paraId="6333DF9C" w14:textId="39098710" w:rsidR="001F1A7D" w:rsidRPr="001F1A7D" w:rsidRDefault="001F1A7D" w:rsidP="00FC3DAD">
            <w:r>
              <w:t>Especificaciones mínimas de seguridad del vehículo</w:t>
            </w:r>
          </w:p>
        </w:tc>
        <w:tc>
          <w:tcPr>
            <w:tcW w:w="5212" w:type="dxa"/>
          </w:tcPr>
          <w:p w14:paraId="58165BA2" w14:textId="40DD8697" w:rsidR="001F1A7D" w:rsidRPr="001F1A7D" w:rsidRDefault="001F1A7D" w:rsidP="00FC3DAD">
            <w:r>
              <w:t>Las especificaciones mínimas de seguridad del vehículo son idénticas a las de la flota propia / administrada.</w:t>
            </w:r>
          </w:p>
        </w:tc>
        <w:tc>
          <w:tcPr>
            <w:tcW w:w="799" w:type="dxa"/>
          </w:tcPr>
          <w:p w14:paraId="6CC62845" w14:textId="77777777" w:rsidR="001F1A7D" w:rsidRPr="00FC3DAD" w:rsidRDefault="001F1A7D" w:rsidP="00FC3DAD">
            <w:pPr>
              <w:rPr>
                <w:b/>
                <w:bCs/>
              </w:rPr>
            </w:pPr>
          </w:p>
        </w:tc>
      </w:tr>
      <w:tr w:rsidR="00D46E3B" w:rsidRPr="003F3990" w14:paraId="19F170B4" w14:textId="77777777" w:rsidTr="002C052B">
        <w:tc>
          <w:tcPr>
            <w:tcW w:w="9016" w:type="dxa"/>
            <w:gridSpan w:val="3"/>
            <w:vAlign w:val="center"/>
          </w:tcPr>
          <w:p w14:paraId="3D7A5A92" w14:textId="794C28D6" w:rsidR="00D46E3B" w:rsidRPr="003F3990" w:rsidRDefault="00D46E3B" w:rsidP="00FC3DAD">
            <w:pPr>
              <w:rPr>
                <w:b/>
                <w:bCs/>
                <w:color w:val="1E69AA"/>
              </w:rPr>
            </w:pPr>
            <w:r>
              <w:rPr>
                <w:b/>
                <w:bCs/>
                <w:color w:val="1E69AA"/>
              </w:rPr>
              <w:lastRenderedPageBreak/>
              <w:t>Revisión</w:t>
            </w:r>
          </w:p>
        </w:tc>
      </w:tr>
      <w:tr w:rsidR="001F1A7D" w14:paraId="68F6FDF0" w14:textId="77777777" w:rsidTr="00FC3DAD">
        <w:tc>
          <w:tcPr>
            <w:tcW w:w="3005" w:type="dxa"/>
            <w:vAlign w:val="center"/>
          </w:tcPr>
          <w:p w14:paraId="67E7A135" w14:textId="0B00F1BB" w:rsidR="001F1A7D" w:rsidRPr="001F1A7D" w:rsidRDefault="00D46E3B" w:rsidP="00FC3DAD">
            <w:r>
              <w:t>Auditoría de seguimiento</w:t>
            </w:r>
          </w:p>
        </w:tc>
        <w:tc>
          <w:tcPr>
            <w:tcW w:w="5212" w:type="dxa"/>
          </w:tcPr>
          <w:p w14:paraId="3C205189" w14:textId="2DE79073" w:rsidR="001F1A7D" w:rsidRPr="001F1A7D" w:rsidRDefault="00D46E3B" w:rsidP="00FC3DAD">
            <w:r>
              <w:t>Existe una auditoría de seguimiento para TODAS las políticas para demostrar que se están siguiendo y que son efectivas.</w:t>
            </w:r>
          </w:p>
        </w:tc>
        <w:tc>
          <w:tcPr>
            <w:tcW w:w="799" w:type="dxa"/>
          </w:tcPr>
          <w:p w14:paraId="3EE4C219" w14:textId="77777777" w:rsidR="001F1A7D" w:rsidRPr="00FC3DAD" w:rsidRDefault="001F1A7D" w:rsidP="00FC3DAD">
            <w:pPr>
              <w:rPr>
                <w:b/>
                <w:bCs/>
              </w:rPr>
            </w:pPr>
          </w:p>
        </w:tc>
      </w:tr>
      <w:tr w:rsidR="00D46E3B" w14:paraId="06D20563" w14:textId="77777777" w:rsidTr="00462477">
        <w:tc>
          <w:tcPr>
            <w:tcW w:w="9016" w:type="dxa"/>
            <w:gridSpan w:val="3"/>
            <w:vAlign w:val="center"/>
          </w:tcPr>
          <w:p w14:paraId="508B308A" w14:textId="77777777" w:rsidR="00D46E3B" w:rsidRPr="00FC3DAD" w:rsidRDefault="00D46E3B" w:rsidP="00FC3DAD">
            <w:pPr>
              <w:rPr>
                <w:b/>
                <w:bCs/>
              </w:rPr>
            </w:pPr>
          </w:p>
        </w:tc>
      </w:tr>
      <w:tr w:rsidR="003F3990" w:rsidRPr="003F3990" w14:paraId="0E254512" w14:textId="77777777" w:rsidTr="003F3990">
        <w:trPr>
          <w:trHeight w:val="567"/>
        </w:trPr>
        <w:tc>
          <w:tcPr>
            <w:tcW w:w="9016" w:type="dxa"/>
            <w:gridSpan w:val="3"/>
            <w:shd w:val="clear" w:color="auto" w:fill="1B8C89"/>
            <w:vAlign w:val="center"/>
          </w:tcPr>
          <w:p w14:paraId="3FADEB36" w14:textId="76B9AB67" w:rsidR="00D46E3B" w:rsidRPr="003F3990" w:rsidRDefault="00D46E3B" w:rsidP="00D46E3B">
            <w:pPr>
              <w:jc w:val="center"/>
              <w:rPr>
                <w:b/>
                <w:bCs/>
                <w:color w:val="FFFFFF" w:themeColor="background1"/>
              </w:rPr>
            </w:pPr>
            <w:r>
              <w:rPr>
                <w:b/>
                <w:bCs/>
                <w:color w:val="FFFFFF" w:themeColor="background1"/>
                <w:sz w:val="28"/>
                <w:szCs w:val="28"/>
              </w:rPr>
              <w:t>Cultura</w:t>
            </w:r>
          </w:p>
        </w:tc>
      </w:tr>
      <w:tr w:rsidR="00D46E3B" w14:paraId="6D054CB1" w14:textId="77777777" w:rsidTr="00FC3DAD">
        <w:tc>
          <w:tcPr>
            <w:tcW w:w="3005" w:type="dxa"/>
            <w:vAlign w:val="center"/>
          </w:tcPr>
          <w:p w14:paraId="01CA3122" w14:textId="28B50D6D" w:rsidR="00D46E3B" w:rsidRPr="00D46E3B" w:rsidRDefault="00D46E3B" w:rsidP="00D46E3B">
            <w:r>
              <w:rPr>
                <w:b/>
                <w:bCs/>
              </w:rPr>
              <w:t>Tema</w:t>
            </w:r>
          </w:p>
        </w:tc>
        <w:tc>
          <w:tcPr>
            <w:tcW w:w="5212" w:type="dxa"/>
          </w:tcPr>
          <w:p w14:paraId="44CBA38B" w14:textId="44D0DCF9" w:rsidR="00D46E3B" w:rsidRPr="00D46E3B" w:rsidRDefault="00D46E3B" w:rsidP="00D46E3B">
            <w:r>
              <w:rPr>
                <w:b/>
                <w:bCs/>
              </w:rPr>
              <w:t>Detalle</w:t>
            </w:r>
          </w:p>
        </w:tc>
        <w:tc>
          <w:tcPr>
            <w:tcW w:w="799" w:type="dxa"/>
          </w:tcPr>
          <w:p w14:paraId="534DDC32" w14:textId="1BBA1626" w:rsidR="00D46E3B" w:rsidRPr="00FC3DAD" w:rsidRDefault="00D46E3B" w:rsidP="00D46E3B">
            <w:pPr>
              <w:rPr>
                <w:b/>
                <w:bCs/>
              </w:rPr>
            </w:pPr>
            <w:r>
              <w:rPr>
                <w:b/>
                <w:bCs/>
              </w:rPr>
              <w:t>Puntuación</w:t>
            </w:r>
          </w:p>
        </w:tc>
      </w:tr>
      <w:tr w:rsidR="00D46E3B" w:rsidRPr="003F3990" w14:paraId="2F62C8C0" w14:textId="77777777" w:rsidTr="00D62FF7">
        <w:tc>
          <w:tcPr>
            <w:tcW w:w="9016" w:type="dxa"/>
            <w:gridSpan w:val="3"/>
            <w:vAlign w:val="center"/>
          </w:tcPr>
          <w:p w14:paraId="0F118D34" w14:textId="52459035" w:rsidR="00D46E3B" w:rsidRPr="003F3990" w:rsidRDefault="00D46E3B" w:rsidP="00D46E3B">
            <w:pPr>
              <w:rPr>
                <w:b/>
                <w:bCs/>
                <w:color w:val="1E69AA"/>
              </w:rPr>
            </w:pPr>
            <w:r>
              <w:rPr>
                <w:b/>
                <w:bCs/>
                <w:color w:val="1E69AA"/>
              </w:rPr>
              <w:t>Estrategia de comunicación</w:t>
            </w:r>
          </w:p>
        </w:tc>
      </w:tr>
      <w:tr w:rsidR="00D46E3B" w14:paraId="17E8811B" w14:textId="77777777" w:rsidTr="00FC3DAD">
        <w:tc>
          <w:tcPr>
            <w:tcW w:w="3005" w:type="dxa"/>
            <w:vAlign w:val="center"/>
          </w:tcPr>
          <w:p w14:paraId="30A3FF4A" w14:textId="5B5CEB8E" w:rsidR="00D46E3B" w:rsidRPr="00D46E3B" w:rsidRDefault="00D46E3B" w:rsidP="00D46E3B">
            <w:r>
              <w:t>Presenciales</w:t>
            </w:r>
          </w:p>
        </w:tc>
        <w:tc>
          <w:tcPr>
            <w:tcW w:w="5212" w:type="dxa"/>
          </w:tcPr>
          <w:p w14:paraId="1E857FDE" w14:textId="2D9A3C2F" w:rsidR="00D46E3B" w:rsidRPr="00D46E3B" w:rsidRDefault="00D46E3B" w:rsidP="00D46E3B">
            <w:r>
              <w:t xml:space="preserve">Los superiores inmediatos tienen al menos informes mensuales </w:t>
            </w:r>
            <w:r w:rsidR="001F0832">
              <w:t>con los que les dan</w:t>
            </w:r>
            <w:r>
              <w:t xml:space="preserve"> informes directos sobre la conducción</w:t>
            </w:r>
            <w:r w:rsidR="001F0832">
              <w:t>;</w:t>
            </w:r>
            <w:r>
              <w:t xml:space="preserve"> la seguridad vial se discute de manera rutinaria en todas las reuniones que incluyen a los conductores.</w:t>
            </w:r>
          </w:p>
        </w:tc>
        <w:tc>
          <w:tcPr>
            <w:tcW w:w="799" w:type="dxa"/>
          </w:tcPr>
          <w:p w14:paraId="02873428" w14:textId="77777777" w:rsidR="00D46E3B" w:rsidRPr="00FC3DAD" w:rsidRDefault="00D46E3B" w:rsidP="00D46E3B">
            <w:pPr>
              <w:rPr>
                <w:b/>
                <w:bCs/>
              </w:rPr>
            </w:pPr>
          </w:p>
        </w:tc>
      </w:tr>
      <w:tr w:rsidR="00D46E3B" w14:paraId="314FC5C1" w14:textId="77777777" w:rsidTr="00FC3DAD">
        <w:tc>
          <w:tcPr>
            <w:tcW w:w="3005" w:type="dxa"/>
            <w:vAlign w:val="center"/>
          </w:tcPr>
          <w:p w14:paraId="675B499C" w14:textId="38F402ED" w:rsidR="00D46E3B" w:rsidRPr="00D46E3B" w:rsidRDefault="00D46E3B" w:rsidP="00D46E3B">
            <w:r>
              <w:t>Comunicaciones electrónicas</w:t>
            </w:r>
          </w:p>
        </w:tc>
        <w:tc>
          <w:tcPr>
            <w:tcW w:w="5212" w:type="dxa"/>
          </w:tcPr>
          <w:p w14:paraId="3423CE93" w14:textId="7986F7E3" w:rsidR="00D46E3B" w:rsidRPr="00D46E3B" w:rsidRDefault="00D46E3B" w:rsidP="00D46E3B">
            <w:r>
              <w:t>Los mensajes relevantes de seguridad vial se comunican por correo electrónico y sitios de Intranet al menos una vez al mes y también cada vez que surge algún tema de actualidad (p. ej. pronóstico de mal tiempo).</w:t>
            </w:r>
          </w:p>
        </w:tc>
        <w:tc>
          <w:tcPr>
            <w:tcW w:w="799" w:type="dxa"/>
          </w:tcPr>
          <w:p w14:paraId="5CB89C44" w14:textId="77777777" w:rsidR="00D46E3B" w:rsidRPr="00FC3DAD" w:rsidRDefault="00D46E3B" w:rsidP="00D46E3B">
            <w:pPr>
              <w:rPr>
                <w:b/>
                <w:bCs/>
              </w:rPr>
            </w:pPr>
          </w:p>
        </w:tc>
      </w:tr>
      <w:tr w:rsidR="00D46E3B" w14:paraId="248B9BFA" w14:textId="77777777" w:rsidTr="00FC3DAD">
        <w:tc>
          <w:tcPr>
            <w:tcW w:w="3005" w:type="dxa"/>
            <w:vAlign w:val="center"/>
          </w:tcPr>
          <w:p w14:paraId="7399EF33" w14:textId="1C8751B7" w:rsidR="00D46E3B" w:rsidRPr="00D46E3B" w:rsidRDefault="00D46E3B" w:rsidP="00D46E3B">
            <w:r>
              <w:t>Boletines y carteles</w:t>
            </w:r>
          </w:p>
        </w:tc>
        <w:tc>
          <w:tcPr>
            <w:tcW w:w="5212" w:type="dxa"/>
          </w:tcPr>
          <w:p w14:paraId="737A6033" w14:textId="529F7BDE" w:rsidR="00D46E3B" w:rsidRPr="00D46E3B" w:rsidRDefault="00D46E3B" w:rsidP="00D46E3B">
            <w:r>
              <w:t>Los mensajes relevantes de seguridad vial se comunican por boletines impresos y/o carteles al menos trimestralmente y también cuando surja algún tema de actualidad (p. ej. pronóstico de mal tiempo).</w:t>
            </w:r>
          </w:p>
        </w:tc>
        <w:tc>
          <w:tcPr>
            <w:tcW w:w="799" w:type="dxa"/>
          </w:tcPr>
          <w:p w14:paraId="38C97B4A" w14:textId="77777777" w:rsidR="00D46E3B" w:rsidRPr="00FC3DAD" w:rsidRDefault="00D46E3B" w:rsidP="00D46E3B">
            <w:pPr>
              <w:rPr>
                <w:b/>
                <w:bCs/>
              </w:rPr>
            </w:pPr>
          </w:p>
        </w:tc>
      </w:tr>
      <w:tr w:rsidR="00D46E3B" w14:paraId="559046A9" w14:textId="77777777" w:rsidTr="00E61ACC">
        <w:tc>
          <w:tcPr>
            <w:tcW w:w="9016" w:type="dxa"/>
            <w:gridSpan w:val="3"/>
            <w:vAlign w:val="center"/>
          </w:tcPr>
          <w:p w14:paraId="222DE3FE" w14:textId="77777777" w:rsidR="00D46E3B" w:rsidRPr="00FC3DAD" w:rsidRDefault="00D46E3B" w:rsidP="00D46E3B">
            <w:pPr>
              <w:rPr>
                <w:b/>
                <w:bCs/>
              </w:rPr>
            </w:pPr>
          </w:p>
        </w:tc>
      </w:tr>
      <w:tr w:rsidR="003F3990" w:rsidRPr="003F3990" w14:paraId="1FA2A5EE" w14:textId="77777777" w:rsidTr="003F3990">
        <w:trPr>
          <w:trHeight w:val="567"/>
        </w:trPr>
        <w:tc>
          <w:tcPr>
            <w:tcW w:w="9016" w:type="dxa"/>
            <w:gridSpan w:val="3"/>
            <w:shd w:val="clear" w:color="auto" w:fill="1B8C89"/>
            <w:vAlign w:val="center"/>
          </w:tcPr>
          <w:p w14:paraId="2E481D8E" w14:textId="121C603D" w:rsidR="00D46E3B" w:rsidRPr="003F3990" w:rsidRDefault="00D46E3B" w:rsidP="00D46E3B">
            <w:pPr>
              <w:jc w:val="center"/>
              <w:rPr>
                <w:b/>
                <w:bCs/>
                <w:color w:val="FFFFFF" w:themeColor="background1"/>
              </w:rPr>
            </w:pPr>
            <w:r>
              <w:rPr>
                <w:b/>
                <w:bCs/>
                <w:color w:val="FFFFFF" w:themeColor="background1"/>
                <w:sz w:val="28"/>
                <w:szCs w:val="28"/>
              </w:rPr>
              <w:t>Evaluar</w:t>
            </w:r>
          </w:p>
        </w:tc>
      </w:tr>
      <w:tr w:rsidR="00D46E3B" w14:paraId="38B343F6" w14:textId="77777777" w:rsidTr="00FC3DAD">
        <w:tc>
          <w:tcPr>
            <w:tcW w:w="3005" w:type="dxa"/>
            <w:vAlign w:val="center"/>
          </w:tcPr>
          <w:p w14:paraId="1520D28D" w14:textId="0DCBE037" w:rsidR="00D46E3B" w:rsidRPr="00D46E3B" w:rsidRDefault="00D46E3B" w:rsidP="00D46E3B">
            <w:r>
              <w:rPr>
                <w:b/>
                <w:bCs/>
              </w:rPr>
              <w:t>Tema</w:t>
            </w:r>
          </w:p>
        </w:tc>
        <w:tc>
          <w:tcPr>
            <w:tcW w:w="5212" w:type="dxa"/>
          </w:tcPr>
          <w:p w14:paraId="273A1988" w14:textId="61654F48" w:rsidR="00D46E3B" w:rsidRPr="00D46E3B" w:rsidRDefault="00D46E3B" w:rsidP="00D46E3B">
            <w:r>
              <w:rPr>
                <w:b/>
                <w:bCs/>
              </w:rPr>
              <w:t>Detalle</w:t>
            </w:r>
          </w:p>
        </w:tc>
        <w:tc>
          <w:tcPr>
            <w:tcW w:w="799" w:type="dxa"/>
          </w:tcPr>
          <w:p w14:paraId="7AF2339F" w14:textId="069F6AEE" w:rsidR="00D46E3B" w:rsidRPr="00FC3DAD" w:rsidRDefault="00D46E3B" w:rsidP="00D46E3B">
            <w:pPr>
              <w:rPr>
                <w:b/>
                <w:bCs/>
              </w:rPr>
            </w:pPr>
            <w:r>
              <w:rPr>
                <w:b/>
                <w:bCs/>
              </w:rPr>
              <w:t>Puntuación</w:t>
            </w:r>
          </w:p>
        </w:tc>
      </w:tr>
      <w:tr w:rsidR="00D46E3B" w:rsidRPr="003F3990" w14:paraId="606C7D46" w14:textId="77777777" w:rsidTr="00DA2A1D">
        <w:tc>
          <w:tcPr>
            <w:tcW w:w="9016" w:type="dxa"/>
            <w:gridSpan w:val="3"/>
            <w:vAlign w:val="center"/>
          </w:tcPr>
          <w:p w14:paraId="6BB02AF2" w14:textId="518C5154" w:rsidR="00D46E3B" w:rsidRPr="003F3990" w:rsidRDefault="00D46E3B" w:rsidP="00D46E3B">
            <w:pPr>
              <w:rPr>
                <w:b/>
                <w:bCs/>
                <w:color w:val="1E69AA"/>
              </w:rPr>
            </w:pPr>
            <w:r>
              <w:rPr>
                <w:b/>
                <w:bCs/>
                <w:color w:val="1E69AA"/>
              </w:rPr>
              <w:t>Evaluación de riesgo</w:t>
            </w:r>
          </w:p>
        </w:tc>
      </w:tr>
      <w:tr w:rsidR="00D46E3B" w14:paraId="4EA6DF45" w14:textId="77777777" w:rsidTr="00FC3DAD">
        <w:tc>
          <w:tcPr>
            <w:tcW w:w="3005" w:type="dxa"/>
            <w:vAlign w:val="center"/>
          </w:tcPr>
          <w:p w14:paraId="5AFFC056" w14:textId="2F48B270" w:rsidR="00D46E3B" w:rsidRPr="00D46E3B" w:rsidRDefault="00D46E3B" w:rsidP="00D46E3B">
            <w:r>
              <w:t>Para todos los conductores</w:t>
            </w:r>
          </w:p>
        </w:tc>
        <w:tc>
          <w:tcPr>
            <w:tcW w:w="5212" w:type="dxa"/>
          </w:tcPr>
          <w:p w14:paraId="208282A1" w14:textId="2C11D333" w:rsidR="00D46E3B" w:rsidRPr="00D46E3B" w:rsidRDefault="003D65A8" w:rsidP="00D46E3B">
            <w:r>
              <w:t>Se evalúan los riesgos para todos los conductores que conduzcan alguna vez por motivos de trabajo, incluyendo a los conductores de flota gris.</w:t>
            </w:r>
          </w:p>
        </w:tc>
        <w:tc>
          <w:tcPr>
            <w:tcW w:w="799" w:type="dxa"/>
          </w:tcPr>
          <w:p w14:paraId="49DA16BB" w14:textId="77777777" w:rsidR="00D46E3B" w:rsidRPr="00FC3DAD" w:rsidRDefault="00D46E3B" w:rsidP="00D46E3B">
            <w:pPr>
              <w:rPr>
                <w:b/>
                <w:bCs/>
              </w:rPr>
            </w:pPr>
          </w:p>
        </w:tc>
      </w:tr>
      <w:tr w:rsidR="00D46E3B" w14:paraId="57B42490" w14:textId="77777777" w:rsidTr="00FC3DAD">
        <w:tc>
          <w:tcPr>
            <w:tcW w:w="3005" w:type="dxa"/>
            <w:vAlign w:val="center"/>
          </w:tcPr>
          <w:p w14:paraId="5CCBF66D" w14:textId="7B5FD3C4" w:rsidR="00D46E3B" w:rsidRPr="00D46E3B" w:rsidRDefault="00D46E3B" w:rsidP="00D46E3B">
            <w:r>
              <w:t>Detalles de la evaluación</w:t>
            </w:r>
          </w:p>
        </w:tc>
        <w:tc>
          <w:tcPr>
            <w:tcW w:w="5212" w:type="dxa"/>
          </w:tcPr>
          <w:p w14:paraId="17B99109" w14:textId="16C1500E" w:rsidR="00D46E3B" w:rsidRPr="00D46E3B" w:rsidRDefault="003D65A8" w:rsidP="00D46E3B">
            <w:r>
              <w:t>La evaluación incluye detalles fundamentales sobre el conductor, los viajes que realiza y el vehículo que utiliza.</w:t>
            </w:r>
          </w:p>
        </w:tc>
        <w:tc>
          <w:tcPr>
            <w:tcW w:w="799" w:type="dxa"/>
          </w:tcPr>
          <w:p w14:paraId="44FDCD27" w14:textId="77777777" w:rsidR="00D46E3B" w:rsidRPr="00FC3DAD" w:rsidRDefault="00D46E3B" w:rsidP="00D46E3B">
            <w:pPr>
              <w:rPr>
                <w:b/>
                <w:bCs/>
              </w:rPr>
            </w:pPr>
          </w:p>
        </w:tc>
      </w:tr>
      <w:tr w:rsidR="00D46E3B" w:rsidRPr="003F3990" w14:paraId="7B854C1E" w14:textId="77777777" w:rsidTr="00BA4CD2">
        <w:tc>
          <w:tcPr>
            <w:tcW w:w="9016" w:type="dxa"/>
            <w:gridSpan w:val="3"/>
            <w:vAlign w:val="center"/>
          </w:tcPr>
          <w:p w14:paraId="50E1A50A" w14:textId="50AAC273" w:rsidR="00D46E3B" w:rsidRPr="003F3990" w:rsidRDefault="00D46E3B" w:rsidP="00D46E3B">
            <w:pPr>
              <w:rPr>
                <w:b/>
                <w:bCs/>
                <w:color w:val="1E69AA"/>
              </w:rPr>
            </w:pPr>
            <w:r>
              <w:rPr>
                <w:b/>
                <w:bCs/>
                <w:color w:val="1E69AA"/>
              </w:rPr>
              <w:t>Informes de Colisiones</w:t>
            </w:r>
          </w:p>
        </w:tc>
      </w:tr>
      <w:tr w:rsidR="00D46E3B" w14:paraId="2EB37CA4" w14:textId="77777777" w:rsidTr="00FC3DAD">
        <w:tc>
          <w:tcPr>
            <w:tcW w:w="3005" w:type="dxa"/>
            <w:vAlign w:val="center"/>
          </w:tcPr>
          <w:p w14:paraId="0E8F4C9B" w14:textId="378AB39C" w:rsidR="00D46E3B" w:rsidRPr="00D46E3B" w:rsidRDefault="00D46E3B" w:rsidP="00D46E3B">
            <w:r>
              <w:t>Objetivo</w:t>
            </w:r>
          </w:p>
        </w:tc>
        <w:tc>
          <w:tcPr>
            <w:tcW w:w="5212" w:type="dxa"/>
          </w:tcPr>
          <w:p w14:paraId="2A7A82F8" w14:textId="5273B0F0" w:rsidR="00D46E3B" w:rsidRPr="00D46E3B" w:rsidRDefault="00D46E3B" w:rsidP="00D46E3B">
            <w:r>
              <w:t>Todos los accidentes, incluidos los que involucran a los conductores de la flota gris, y también aquellos clasificados como 'sin culpa', se discuten con el empleado para ayudar a determinar las causas subyacentes de la administración o del conductor.</w:t>
            </w:r>
          </w:p>
        </w:tc>
        <w:tc>
          <w:tcPr>
            <w:tcW w:w="799" w:type="dxa"/>
          </w:tcPr>
          <w:p w14:paraId="38FF2176" w14:textId="77777777" w:rsidR="00D46E3B" w:rsidRPr="00FC3DAD" w:rsidRDefault="00D46E3B" w:rsidP="00D46E3B">
            <w:pPr>
              <w:rPr>
                <w:b/>
                <w:bCs/>
              </w:rPr>
            </w:pPr>
          </w:p>
        </w:tc>
      </w:tr>
      <w:tr w:rsidR="00D46E3B" w:rsidRPr="003F3990" w14:paraId="0AF1BA3F" w14:textId="77777777" w:rsidTr="00527E7A">
        <w:tc>
          <w:tcPr>
            <w:tcW w:w="9016" w:type="dxa"/>
            <w:gridSpan w:val="3"/>
            <w:vAlign w:val="center"/>
          </w:tcPr>
          <w:p w14:paraId="5ED0CA67" w14:textId="6988C2E3" w:rsidR="00D46E3B" w:rsidRPr="003F3990" w:rsidRDefault="00D46E3B" w:rsidP="00D46E3B">
            <w:pPr>
              <w:rPr>
                <w:b/>
                <w:bCs/>
                <w:color w:val="1E69AA"/>
              </w:rPr>
            </w:pPr>
            <w:r>
              <w:rPr>
                <w:b/>
                <w:bCs/>
                <w:color w:val="1E69AA"/>
              </w:rPr>
              <w:t>Telemetría para el Comportamiento del Conductor</w:t>
            </w:r>
          </w:p>
        </w:tc>
      </w:tr>
      <w:tr w:rsidR="00D46E3B" w14:paraId="317C87D0" w14:textId="77777777" w:rsidTr="00FC3DAD">
        <w:tc>
          <w:tcPr>
            <w:tcW w:w="3005" w:type="dxa"/>
            <w:vAlign w:val="center"/>
          </w:tcPr>
          <w:p w14:paraId="3273CF40" w14:textId="058E37B6" w:rsidR="00D46E3B" w:rsidRPr="006C0EDA" w:rsidRDefault="00D46E3B" w:rsidP="00D46E3B">
            <w:r>
              <w:t>Objetivo</w:t>
            </w:r>
          </w:p>
        </w:tc>
        <w:tc>
          <w:tcPr>
            <w:tcW w:w="5212" w:type="dxa"/>
          </w:tcPr>
          <w:p w14:paraId="1FE2A84A" w14:textId="5DB1EDA5" w:rsidR="00D46E3B" w:rsidRPr="006C0EDA" w:rsidRDefault="00F977A4" w:rsidP="00D46E3B">
            <w:r>
              <w:t xml:space="preserve">La telemetría para el comportamiento del conductor se debe medir en todos los vehículos, </w:t>
            </w:r>
            <w:proofErr w:type="spellStart"/>
            <w:r>
              <w:t>incluídos</w:t>
            </w:r>
            <w:proofErr w:type="spellEnd"/>
            <w:r>
              <w:t xml:space="preserve"> los vehículos de la Flota Gris.  </w:t>
            </w:r>
            <w:r w:rsidR="001F0832">
              <w:rPr>
                <w:rFonts w:cstheme="minorHAnsi"/>
              </w:rPr>
              <w:t>É</w:t>
            </w:r>
            <w:r>
              <w:t xml:space="preserve">sta podría ser la misma solución o una combinación de soluciones (p. ej. dispositivos cableados y aplicaciones de </w:t>
            </w:r>
            <w:proofErr w:type="spellStart"/>
            <w:r>
              <w:t>smartphone</w:t>
            </w:r>
            <w:proofErr w:type="spellEnd"/>
            <w:r>
              <w:t>).</w:t>
            </w:r>
          </w:p>
        </w:tc>
        <w:tc>
          <w:tcPr>
            <w:tcW w:w="799" w:type="dxa"/>
          </w:tcPr>
          <w:p w14:paraId="555ED0C9" w14:textId="77777777" w:rsidR="00D46E3B" w:rsidRPr="00FC3DAD" w:rsidRDefault="00D46E3B" w:rsidP="00D46E3B">
            <w:pPr>
              <w:rPr>
                <w:b/>
                <w:bCs/>
              </w:rPr>
            </w:pPr>
          </w:p>
        </w:tc>
      </w:tr>
      <w:tr w:rsidR="00D46E3B" w14:paraId="30B4A3A1" w14:textId="77777777" w:rsidTr="00FC3DAD">
        <w:tc>
          <w:tcPr>
            <w:tcW w:w="3005" w:type="dxa"/>
            <w:vAlign w:val="center"/>
          </w:tcPr>
          <w:p w14:paraId="70E1039B" w14:textId="4E1BA066" w:rsidR="00D46E3B" w:rsidRPr="00D46E3B" w:rsidRDefault="00D46E3B" w:rsidP="00D46E3B">
            <w:r>
              <w:t>Identificación del Conductor</w:t>
            </w:r>
          </w:p>
        </w:tc>
        <w:tc>
          <w:tcPr>
            <w:tcW w:w="5212" w:type="dxa"/>
          </w:tcPr>
          <w:p w14:paraId="03544946" w14:textId="68E5F6DB" w:rsidR="00D46E3B" w:rsidRPr="00D46E3B" w:rsidRDefault="00D46E3B" w:rsidP="00D46E3B">
            <w:r>
              <w:t xml:space="preserve">Todos los viajes se pueden relacionar con el conductor, ya sea utilizando una solución </w:t>
            </w:r>
            <w:r>
              <w:lastRenderedPageBreak/>
              <w:t xml:space="preserve">tecnológica o de los registros del vehículo, para garantizar que los comportamientos de conducción se puedan relacionar con el empleado </w:t>
            </w:r>
            <w:r w:rsidR="00DE6B0E">
              <w:t>apropiado</w:t>
            </w:r>
            <w:r>
              <w:t>.</w:t>
            </w:r>
          </w:p>
        </w:tc>
        <w:tc>
          <w:tcPr>
            <w:tcW w:w="799" w:type="dxa"/>
          </w:tcPr>
          <w:p w14:paraId="538BAE90" w14:textId="77777777" w:rsidR="00D46E3B" w:rsidRPr="00FC3DAD" w:rsidRDefault="00D46E3B" w:rsidP="00D46E3B">
            <w:pPr>
              <w:rPr>
                <w:b/>
                <w:bCs/>
              </w:rPr>
            </w:pPr>
          </w:p>
        </w:tc>
      </w:tr>
      <w:tr w:rsidR="00D46E3B" w:rsidRPr="003F3990" w14:paraId="2AD34871" w14:textId="77777777" w:rsidTr="00D71C34">
        <w:tc>
          <w:tcPr>
            <w:tcW w:w="9016" w:type="dxa"/>
            <w:gridSpan w:val="3"/>
            <w:vAlign w:val="center"/>
          </w:tcPr>
          <w:p w14:paraId="7BA2ACFC" w14:textId="1CCA3A7D" w:rsidR="00D46E3B" w:rsidRPr="003F3990" w:rsidRDefault="00D46E3B" w:rsidP="00D46E3B">
            <w:pPr>
              <w:rPr>
                <w:b/>
                <w:bCs/>
                <w:color w:val="1E69AA"/>
              </w:rPr>
            </w:pPr>
            <w:r>
              <w:rPr>
                <w:b/>
                <w:bCs/>
                <w:color w:val="1E69AA"/>
              </w:rPr>
              <w:lastRenderedPageBreak/>
              <w:t>Verificaciones del Permiso de Conducir</w:t>
            </w:r>
          </w:p>
        </w:tc>
      </w:tr>
      <w:tr w:rsidR="00D46E3B" w14:paraId="2C22A343" w14:textId="77777777" w:rsidTr="00FC3DAD">
        <w:tc>
          <w:tcPr>
            <w:tcW w:w="3005" w:type="dxa"/>
            <w:vAlign w:val="center"/>
          </w:tcPr>
          <w:p w14:paraId="719F8174" w14:textId="0CEED240" w:rsidR="00D46E3B" w:rsidRPr="00D46E3B" w:rsidRDefault="00D46E3B" w:rsidP="00D46E3B">
            <w:r>
              <w:t>Todos los permisos de conducir se verifican.</w:t>
            </w:r>
          </w:p>
        </w:tc>
        <w:tc>
          <w:tcPr>
            <w:tcW w:w="5212" w:type="dxa"/>
          </w:tcPr>
          <w:p w14:paraId="0F362246" w14:textId="1432B1BE" w:rsidR="00D46E3B" w:rsidRPr="00D46E3B" w:rsidRDefault="00D46E3B" w:rsidP="00D46E3B">
            <w:r>
              <w:t xml:space="preserve">Se verifican los permisos de conducir de todos los conductores, incluidos los conductores de vehículos de la Flota Gris, para asegurarse de que </w:t>
            </w:r>
            <w:r w:rsidR="00DE6B0E">
              <w:t>estén</w:t>
            </w:r>
            <w:r>
              <w:t xml:space="preserve"> en vigor y válidos mientras se conduce el vehículo.</w:t>
            </w:r>
          </w:p>
        </w:tc>
        <w:tc>
          <w:tcPr>
            <w:tcW w:w="799" w:type="dxa"/>
          </w:tcPr>
          <w:p w14:paraId="2ACD96E5" w14:textId="77777777" w:rsidR="00D46E3B" w:rsidRPr="00FC3DAD" w:rsidRDefault="00D46E3B" w:rsidP="00D46E3B">
            <w:pPr>
              <w:rPr>
                <w:b/>
                <w:bCs/>
              </w:rPr>
            </w:pPr>
          </w:p>
        </w:tc>
      </w:tr>
      <w:tr w:rsidR="00D46E3B" w14:paraId="59389495" w14:textId="77777777" w:rsidTr="00FC3DAD">
        <w:tc>
          <w:tcPr>
            <w:tcW w:w="3005" w:type="dxa"/>
            <w:vAlign w:val="center"/>
          </w:tcPr>
          <w:p w14:paraId="7088BC87" w14:textId="6A738683" w:rsidR="00D46E3B" w:rsidRPr="00D46E3B" w:rsidRDefault="00D46E3B" w:rsidP="00D46E3B">
            <w:r>
              <w:t>Frecuencia de las verificaciones</w:t>
            </w:r>
          </w:p>
        </w:tc>
        <w:tc>
          <w:tcPr>
            <w:tcW w:w="5212" w:type="dxa"/>
          </w:tcPr>
          <w:p w14:paraId="48B5843F" w14:textId="0B89332B" w:rsidR="00D46E3B" w:rsidRPr="00D46E3B" w:rsidRDefault="006C0EDA" w:rsidP="00D46E3B">
            <w:r>
              <w:t>Los permisos de conducir se verifican en función del riesgo de que un empleado pierda su permiso y/o en función de su historial de infracciones (p. ej. se realizan verificaciones más frecuentes si hay un historial de incidentes graves, como conducir bajo los efectos del alcohol).  Alternativamente, todos los permisos de conducir se verifican al menos trimestralmente.</w:t>
            </w:r>
          </w:p>
        </w:tc>
        <w:tc>
          <w:tcPr>
            <w:tcW w:w="799" w:type="dxa"/>
          </w:tcPr>
          <w:p w14:paraId="769F52CE" w14:textId="77777777" w:rsidR="00D46E3B" w:rsidRPr="00FC3DAD" w:rsidRDefault="00D46E3B" w:rsidP="00D46E3B">
            <w:pPr>
              <w:rPr>
                <w:b/>
                <w:bCs/>
              </w:rPr>
            </w:pPr>
          </w:p>
        </w:tc>
      </w:tr>
      <w:tr w:rsidR="00D46E3B" w14:paraId="26C0038C" w14:textId="77777777" w:rsidTr="000E6427">
        <w:tc>
          <w:tcPr>
            <w:tcW w:w="9016" w:type="dxa"/>
            <w:gridSpan w:val="3"/>
            <w:vAlign w:val="center"/>
          </w:tcPr>
          <w:p w14:paraId="3475D02C" w14:textId="77777777" w:rsidR="00D46E3B" w:rsidRPr="00FC3DAD" w:rsidRDefault="00D46E3B" w:rsidP="00D46E3B">
            <w:pPr>
              <w:rPr>
                <w:b/>
                <w:bCs/>
              </w:rPr>
            </w:pPr>
          </w:p>
        </w:tc>
      </w:tr>
      <w:tr w:rsidR="003F3990" w:rsidRPr="003F3990" w14:paraId="3B28F9F2" w14:textId="77777777" w:rsidTr="003F3990">
        <w:trPr>
          <w:trHeight w:val="567"/>
        </w:trPr>
        <w:tc>
          <w:tcPr>
            <w:tcW w:w="9016" w:type="dxa"/>
            <w:gridSpan w:val="3"/>
            <w:shd w:val="clear" w:color="auto" w:fill="1B8C89"/>
            <w:vAlign w:val="center"/>
          </w:tcPr>
          <w:p w14:paraId="1B8AE968" w14:textId="4F228D9D" w:rsidR="00D46E3B" w:rsidRPr="003F3990" w:rsidRDefault="00D46E3B" w:rsidP="00D46E3B">
            <w:pPr>
              <w:jc w:val="center"/>
              <w:rPr>
                <w:b/>
                <w:bCs/>
                <w:color w:val="FFFFFF" w:themeColor="background1"/>
              </w:rPr>
            </w:pPr>
            <w:r>
              <w:rPr>
                <w:b/>
                <w:bCs/>
                <w:color w:val="FFFFFF" w:themeColor="background1"/>
                <w:sz w:val="28"/>
                <w:szCs w:val="28"/>
              </w:rPr>
              <w:t>Control</w:t>
            </w:r>
          </w:p>
        </w:tc>
      </w:tr>
      <w:tr w:rsidR="00D46E3B" w14:paraId="34A5E0B8" w14:textId="77777777" w:rsidTr="00FC3DAD">
        <w:tc>
          <w:tcPr>
            <w:tcW w:w="3005" w:type="dxa"/>
            <w:vAlign w:val="center"/>
          </w:tcPr>
          <w:p w14:paraId="07DE9E26" w14:textId="41EF41CB" w:rsidR="00D46E3B" w:rsidRPr="00D46E3B" w:rsidRDefault="00D46E3B" w:rsidP="00D46E3B">
            <w:r>
              <w:rPr>
                <w:b/>
                <w:bCs/>
              </w:rPr>
              <w:t>Tema</w:t>
            </w:r>
          </w:p>
        </w:tc>
        <w:tc>
          <w:tcPr>
            <w:tcW w:w="5212" w:type="dxa"/>
          </w:tcPr>
          <w:p w14:paraId="0265C597" w14:textId="12BBD088" w:rsidR="00D46E3B" w:rsidRPr="00D46E3B" w:rsidRDefault="00D46E3B" w:rsidP="00D46E3B">
            <w:r>
              <w:rPr>
                <w:b/>
                <w:bCs/>
              </w:rPr>
              <w:t>Detalle</w:t>
            </w:r>
          </w:p>
        </w:tc>
        <w:tc>
          <w:tcPr>
            <w:tcW w:w="799" w:type="dxa"/>
          </w:tcPr>
          <w:p w14:paraId="1559E4A9" w14:textId="4A3BBC56" w:rsidR="00D46E3B" w:rsidRPr="00FC3DAD" w:rsidRDefault="00D46E3B" w:rsidP="00D46E3B">
            <w:pPr>
              <w:rPr>
                <w:b/>
                <w:bCs/>
              </w:rPr>
            </w:pPr>
            <w:r>
              <w:rPr>
                <w:b/>
                <w:bCs/>
              </w:rPr>
              <w:t>Puntuación</w:t>
            </w:r>
          </w:p>
        </w:tc>
      </w:tr>
      <w:tr w:rsidR="00D46E3B" w:rsidRPr="003F3990" w14:paraId="793F121E" w14:textId="77777777" w:rsidTr="00AD6174">
        <w:tc>
          <w:tcPr>
            <w:tcW w:w="9016" w:type="dxa"/>
            <w:gridSpan w:val="3"/>
            <w:vAlign w:val="center"/>
          </w:tcPr>
          <w:p w14:paraId="4EAA6059" w14:textId="6C5735AE" w:rsidR="00D46E3B" w:rsidRPr="003F3990" w:rsidRDefault="00D46E3B" w:rsidP="00D46E3B">
            <w:pPr>
              <w:rPr>
                <w:b/>
                <w:bCs/>
                <w:color w:val="1E69AA"/>
              </w:rPr>
            </w:pPr>
            <w:r>
              <w:rPr>
                <w:b/>
                <w:bCs/>
                <w:color w:val="1E69AA"/>
              </w:rPr>
              <w:t>Determinación de Intervenciones Apropiadas</w:t>
            </w:r>
          </w:p>
        </w:tc>
      </w:tr>
      <w:tr w:rsidR="00D46E3B" w14:paraId="1B81524C" w14:textId="77777777" w:rsidTr="00FC3DAD">
        <w:tc>
          <w:tcPr>
            <w:tcW w:w="3005" w:type="dxa"/>
            <w:vAlign w:val="center"/>
          </w:tcPr>
          <w:p w14:paraId="556E2F86" w14:textId="4F65DD37" w:rsidR="00D46E3B" w:rsidRPr="00D46E3B" w:rsidRDefault="00D46E3B" w:rsidP="00D46E3B">
            <w:r>
              <w:t>Objetivo</w:t>
            </w:r>
          </w:p>
        </w:tc>
        <w:tc>
          <w:tcPr>
            <w:tcW w:w="5212" w:type="dxa"/>
          </w:tcPr>
          <w:p w14:paraId="7F21FE25" w14:textId="19CCA63B" w:rsidR="00D46E3B" w:rsidRPr="00D46E3B" w:rsidRDefault="00D46E3B" w:rsidP="00D46E3B">
            <w:r>
              <w:t>Todos los conductores, incluidos los empleados que conducen vehículos de la Flota Gris, están sujetos a intervenciones apropiadas para reducir los riesgos que enfrentan al conducir.</w:t>
            </w:r>
          </w:p>
        </w:tc>
        <w:tc>
          <w:tcPr>
            <w:tcW w:w="799" w:type="dxa"/>
          </w:tcPr>
          <w:p w14:paraId="561FC2CF" w14:textId="77777777" w:rsidR="00D46E3B" w:rsidRPr="00FC3DAD" w:rsidRDefault="00D46E3B" w:rsidP="00D46E3B">
            <w:pPr>
              <w:rPr>
                <w:b/>
                <w:bCs/>
              </w:rPr>
            </w:pPr>
          </w:p>
        </w:tc>
      </w:tr>
      <w:tr w:rsidR="00D46E3B" w14:paraId="2FD40F80" w14:textId="77777777" w:rsidTr="00FC3DAD">
        <w:tc>
          <w:tcPr>
            <w:tcW w:w="3005" w:type="dxa"/>
            <w:vAlign w:val="center"/>
          </w:tcPr>
          <w:p w14:paraId="69912626" w14:textId="324301AE" w:rsidR="00D46E3B" w:rsidRPr="00D46E3B" w:rsidRDefault="00D46E3B" w:rsidP="00D46E3B">
            <w:r>
              <w:t>¿Cómo se determinan las intervenciones?</w:t>
            </w:r>
          </w:p>
        </w:tc>
        <w:tc>
          <w:tcPr>
            <w:tcW w:w="5212" w:type="dxa"/>
          </w:tcPr>
          <w:p w14:paraId="00716ABB" w14:textId="1E160A0A" w:rsidR="00D46E3B" w:rsidRPr="00D46E3B" w:rsidRDefault="00D46E3B" w:rsidP="00D46E3B">
            <w:r>
              <w:t>El análisis de causa</w:t>
            </w:r>
            <w:r w:rsidR="00156AED">
              <w:t>s</w:t>
            </w:r>
            <w:r>
              <w:t xml:space="preserve"> </w:t>
            </w:r>
            <w:r w:rsidR="00156AED">
              <w:t>para la</w:t>
            </w:r>
            <w:r>
              <w:t xml:space="preserve"> evaluación de datos (evaluaciones de riesgos, informes de colisión, datos de telemetría del comportamiento del conductor y verificaciones del permiso de conducir) determina la gestión adecuada y/o las intervenciones centradas en el conductor.</w:t>
            </w:r>
          </w:p>
        </w:tc>
        <w:tc>
          <w:tcPr>
            <w:tcW w:w="799" w:type="dxa"/>
          </w:tcPr>
          <w:p w14:paraId="1A184321" w14:textId="77777777" w:rsidR="00D46E3B" w:rsidRPr="00FC3DAD" w:rsidRDefault="00D46E3B" w:rsidP="00D46E3B">
            <w:pPr>
              <w:rPr>
                <w:b/>
                <w:bCs/>
              </w:rPr>
            </w:pPr>
          </w:p>
        </w:tc>
      </w:tr>
      <w:tr w:rsidR="00D46E3B" w:rsidRPr="003F3990" w14:paraId="2016A426" w14:textId="77777777" w:rsidTr="00EB6D7D">
        <w:tc>
          <w:tcPr>
            <w:tcW w:w="9016" w:type="dxa"/>
            <w:gridSpan w:val="3"/>
            <w:vAlign w:val="center"/>
          </w:tcPr>
          <w:p w14:paraId="1ED658BA" w14:textId="2E5F725A" w:rsidR="00D46E3B" w:rsidRPr="003F3990" w:rsidRDefault="00D46E3B" w:rsidP="00D46E3B">
            <w:pPr>
              <w:rPr>
                <w:b/>
                <w:bCs/>
                <w:color w:val="1E69AA"/>
              </w:rPr>
            </w:pPr>
            <w:r>
              <w:rPr>
                <w:b/>
                <w:bCs/>
                <w:color w:val="1E69AA"/>
              </w:rPr>
              <w:t>Intervenciones del Conductor</w:t>
            </w:r>
          </w:p>
        </w:tc>
      </w:tr>
      <w:tr w:rsidR="00D46E3B" w14:paraId="1F81E2E9" w14:textId="77777777" w:rsidTr="00FC3DAD">
        <w:tc>
          <w:tcPr>
            <w:tcW w:w="3005" w:type="dxa"/>
            <w:vAlign w:val="center"/>
          </w:tcPr>
          <w:p w14:paraId="18A77C30" w14:textId="0AC06DEE" w:rsidR="00D46E3B" w:rsidRPr="00D46E3B" w:rsidRDefault="00D46E3B" w:rsidP="00D46E3B">
            <w:r>
              <w:t>¿Qué intervenciones existen?</w:t>
            </w:r>
          </w:p>
        </w:tc>
        <w:tc>
          <w:tcPr>
            <w:tcW w:w="5212" w:type="dxa"/>
          </w:tcPr>
          <w:p w14:paraId="6C53ECA4" w14:textId="638953EE" w:rsidR="00D46E3B" w:rsidRPr="00D46E3B" w:rsidRDefault="00D46E3B" w:rsidP="00D46E3B">
            <w:r>
              <w:t xml:space="preserve">Una combinación de </w:t>
            </w:r>
            <w:r w:rsidR="00156AED">
              <w:t xml:space="preserve">intervenciones </w:t>
            </w:r>
            <w:r>
              <w:t xml:space="preserve">en el vehículo, en el aula y en línea, en función de la necesidad identificada por los datos de evaluación (evaluaciones de riesgos, informes de colisión, datos de telemetría de comportamiento del conductor y verificaciones de permisos </w:t>
            </w:r>
            <w:r w:rsidR="00156AED">
              <w:t xml:space="preserve">de </w:t>
            </w:r>
            <w:r>
              <w:t>conducir).</w:t>
            </w:r>
          </w:p>
        </w:tc>
        <w:tc>
          <w:tcPr>
            <w:tcW w:w="799" w:type="dxa"/>
          </w:tcPr>
          <w:p w14:paraId="6AAA3A0D" w14:textId="77777777" w:rsidR="00D46E3B" w:rsidRPr="00FC3DAD" w:rsidRDefault="00D46E3B" w:rsidP="00D46E3B">
            <w:pPr>
              <w:rPr>
                <w:b/>
                <w:bCs/>
              </w:rPr>
            </w:pPr>
          </w:p>
        </w:tc>
      </w:tr>
      <w:tr w:rsidR="00D46E3B" w14:paraId="413A6E66" w14:textId="77777777" w:rsidTr="00FC3DAD">
        <w:tc>
          <w:tcPr>
            <w:tcW w:w="3005" w:type="dxa"/>
            <w:vAlign w:val="center"/>
          </w:tcPr>
          <w:p w14:paraId="2020078C" w14:textId="1F619494" w:rsidR="00D46E3B" w:rsidRPr="00D46E3B" w:rsidRDefault="00D46E3B" w:rsidP="00D46E3B">
            <w:r>
              <w:t>Suministro de aprendizaje digital</w:t>
            </w:r>
          </w:p>
        </w:tc>
        <w:tc>
          <w:tcPr>
            <w:tcW w:w="5212" w:type="dxa"/>
          </w:tcPr>
          <w:p w14:paraId="07CE4A93" w14:textId="6D994785" w:rsidR="00D46E3B" w:rsidRPr="00D46E3B" w:rsidRDefault="006E588A" w:rsidP="00D46E3B">
            <w:r>
              <w:t xml:space="preserve">Un proveedor externo capacitado o un curso desarrollado internamente </w:t>
            </w:r>
            <w:proofErr w:type="gramStart"/>
            <w:r>
              <w:t>ofrece</w:t>
            </w:r>
            <w:proofErr w:type="gramEnd"/>
            <w:r>
              <w:t xml:space="preserve"> cursos en idiomas locales. </w:t>
            </w:r>
          </w:p>
        </w:tc>
        <w:tc>
          <w:tcPr>
            <w:tcW w:w="799" w:type="dxa"/>
          </w:tcPr>
          <w:p w14:paraId="100F97AC" w14:textId="77777777" w:rsidR="00D46E3B" w:rsidRPr="00FC3DAD" w:rsidRDefault="00D46E3B" w:rsidP="00D46E3B">
            <w:pPr>
              <w:rPr>
                <w:b/>
                <w:bCs/>
              </w:rPr>
            </w:pPr>
          </w:p>
        </w:tc>
      </w:tr>
      <w:tr w:rsidR="00D46E3B" w:rsidRPr="003F3990" w14:paraId="3C07C187" w14:textId="77777777" w:rsidTr="00F1156F">
        <w:tc>
          <w:tcPr>
            <w:tcW w:w="9016" w:type="dxa"/>
            <w:gridSpan w:val="3"/>
            <w:vAlign w:val="center"/>
          </w:tcPr>
          <w:p w14:paraId="520F9D06" w14:textId="068C9192" w:rsidR="00D46E3B" w:rsidRPr="003F3990" w:rsidRDefault="00D46E3B" w:rsidP="00D46E3B">
            <w:pPr>
              <w:rPr>
                <w:b/>
                <w:bCs/>
                <w:color w:val="1E69AA"/>
              </w:rPr>
            </w:pPr>
            <w:r>
              <w:rPr>
                <w:b/>
                <w:bCs/>
                <w:color w:val="1E69AA"/>
              </w:rPr>
              <w:t>Ergonomía del Conductor</w:t>
            </w:r>
          </w:p>
        </w:tc>
      </w:tr>
      <w:tr w:rsidR="00D46E3B" w14:paraId="7AA95586" w14:textId="77777777" w:rsidTr="00FC3DAD">
        <w:tc>
          <w:tcPr>
            <w:tcW w:w="3005" w:type="dxa"/>
            <w:vAlign w:val="center"/>
          </w:tcPr>
          <w:p w14:paraId="32F99A3C" w14:textId="5200A6A9" w:rsidR="00D46E3B" w:rsidRPr="00D46E3B" w:rsidRDefault="00820E57" w:rsidP="00D46E3B">
            <w:r>
              <w:t>Posición del asiento</w:t>
            </w:r>
          </w:p>
        </w:tc>
        <w:tc>
          <w:tcPr>
            <w:tcW w:w="5212" w:type="dxa"/>
          </w:tcPr>
          <w:p w14:paraId="2C9EADC4" w14:textId="3A6578A9" w:rsidR="00D46E3B" w:rsidRPr="00D46E3B" w:rsidRDefault="00820E57" w:rsidP="00D46E3B">
            <w:r>
              <w:t>Todos los conductores, incluidos los conductores de los vehículos de la Flota Gris, reciben capacitación sobre cómo lograr la posición correcta en los asientos, para minimizar la aparición temprana de fatiga y el riesgo de problemas de espalda/músculos.</w:t>
            </w:r>
          </w:p>
        </w:tc>
        <w:tc>
          <w:tcPr>
            <w:tcW w:w="799" w:type="dxa"/>
          </w:tcPr>
          <w:p w14:paraId="5E7CF3FF" w14:textId="77777777" w:rsidR="00D46E3B" w:rsidRPr="00FC3DAD" w:rsidRDefault="00D46E3B" w:rsidP="00D46E3B">
            <w:pPr>
              <w:rPr>
                <w:b/>
                <w:bCs/>
              </w:rPr>
            </w:pPr>
          </w:p>
        </w:tc>
      </w:tr>
      <w:tr w:rsidR="00820E57" w:rsidRPr="003F3990" w14:paraId="533B706A" w14:textId="77777777" w:rsidTr="00D577E2">
        <w:tc>
          <w:tcPr>
            <w:tcW w:w="9016" w:type="dxa"/>
            <w:gridSpan w:val="3"/>
            <w:vAlign w:val="center"/>
          </w:tcPr>
          <w:p w14:paraId="67B62F24" w14:textId="749BFB75" w:rsidR="00820E57" w:rsidRPr="003F3990" w:rsidRDefault="00820E57" w:rsidP="00D46E3B">
            <w:pPr>
              <w:rPr>
                <w:b/>
                <w:bCs/>
                <w:color w:val="1E69AA"/>
              </w:rPr>
            </w:pPr>
            <w:r>
              <w:rPr>
                <w:b/>
                <w:bCs/>
                <w:color w:val="1E69AA"/>
              </w:rPr>
              <w:t>Conductores Vulnerables</w:t>
            </w:r>
          </w:p>
        </w:tc>
      </w:tr>
      <w:tr w:rsidR="00820E57" w14:paraId="7F1DAC68" w14:textId="77777777" w:rsidTr="00FC3DAD">
        <w:tc>
          <w:tcPr>
            <w:tcW w:w="3005" w:type="dxa"/>
            <w:vAlign w:val="center"/>
          </w:tcPr>
          <w:p w14:paraId="7976777E" w14:textId="795E9D00" w:rsidR="00820E57" w:rsidRPr="00D46E3B" w:rsidRDefault="00820E57" w:rsidP="00D46E3B">
            <w:r>
              <w:lastRenderedPageBreak/>
              <w:t>Conductores jóvenes</w:t>
            </w:r>
          </w:p>
        </w:tc>
        <w:tc>
          <w:tcPr>
            <w:tcW w:w="5212" w:type="dxa"/>
          </w:tcPr>
          <w:p w14:paraId="50D31EC6" w14:textId="717E2A20" w:rsidR="00820E57" w:rsidRPr="00D46E3B" w:rsidRDefault="00820E57" w:rsidP="00D46E3B">
            <w:r>
              <w:t xml:space="preserve">Todos los conductores menores de 25 años, incluidos los empleados que conducen vehículos </w:t>
            </w:r>
            <w:r w:rsidR="00156AED">
              <w:t xml:space="preserve">de </w:t>
            </w:r>
            <w:r>
              <w:t>la Flota Gris, tienen revisiones adicionales en relación con la capacitación, los viajes que pueden hacer y los vehículos que pueden usar</w:t>
            </w:r>
            <w:r w:rsidR="00156AED">
              <w:t>. Si no se respeta esto,</w:t>
            </w:r>
            <w:r>
              <w:t xml:space="preserve"> no </w:t>
            </w:r>
            <w:r w:rsidR="00156AED">
              <w:t xml:space="preserve">se emplearán </w:t>
            </w:r>
            <w:r>
              <w:t>conductores menores de 25 años.</w:t>
            </w:r>
          </w:p>
        </w:tc>
        <w:tc>
          <w:tcPr>
            <w:tcW w:w="799" w:type="dxa"/>
          </w:tcPr>
          <w:p w14:paraId="4E507176" w14:textId="77777777" w:rsidR="00820E57" w:rsidRPr="00FC3DAD" w:rsidRDefault="00820E57" w:rsidP="00D46E3B">
            <w:pPr>
              <w:rPr>
                <w:b/>
                <w:bCs/>
              </w:rPr>
            </w:pPr>
          </w:p>
        </w:tc>
      </w:tr>
      <w:tr w:rsidR="00820E57" w14:paraId="5BA9A982" w14:textId="77777777" w:rsidTr="00FC3DAD">
        <w:tc>
          <w:tcPr>
            <w:tcW w:w="3005" w:type="dxa"/>
            <w:vAlign w:val="center"/>
          </w:tcPr>
          <w:p w14:paraId="5B56D949" w14:textId="5E362108" w:rsidR="00820E57" w:rsidRPr="00820E57" w:rsidRDefault="00820E57" w:rsidP="00D46E3B">
            <w:r>
              <w:t>Conductores mayores</w:t>
            </w:r>
          </w:p>
        </w:tc>
        <w:tc>
          <w:tcPr>
            <w:tcW w:w="5212" w:type="dxa"/>
          </w:tcPr>
          <w:p w14:paraId="2DDAB038" w14:textId="6DA8F4AA" w:rsidR="00820E57" w:rsidRPr="00820E57" w:rsidRDefault="00820E57" w:rsidP="00D46E3B">
            <w:r>
              <w:t>Todos los conductores mayores de 60 años, incluidos los empleados que conducen vehículos</w:t>
            </w:r>
            <w:r w:rsidR="00156AED">
              <w:t xml:space="preserve"> de </w:t>
            </w:r>
            <w:r>
              <w:t>la Flota Gris, tienen revisiones adicionales en relación con la capacitación, los viajes que pueden hacer y los vehículos que pueden usar</w:t>
            </w:r>
            <w:r w:rsidR="00156AED">
              <w:t>.</w:t>
            </w:r>
            <w:r>
              <w:t xml:space="preserve"> </w:t>
            </w:r>
            <w:r w:rsidR="00156AED">
              <w:t xml:space="preserve">Si no se respeta esto, no se emplearán </w:t>
            </w:r>
            <w:r>
              <w:t>conductores mayores de 60 años.</w:t>
            </w:r>
          </w:p>
        </w:tc>
        <w:tc>
          <w:tcPr>
            <w:tcW w:w="799" w:type="dxa"/>
          </w:tcPr>
          <w:p w14:paraId="39A720FF" w14:textId="77777777" w:rsidR="00820E57" w:rsidRPr="00FC3DAD" w:rsidRDefault="00820E57" w:rsidP="00D46E3B">
            <w:pPr>
              <w:rPr>
                <w:b/>
                <w:bCs/>
              </w:rPr>
            </w:pPr>
          </w:p>
        </w:tc>
      </w:tr>
      <w:tr w:rsidR="00820E57" w14:paraId="3E9F7B91" w14:textId="77777777" w:rsidTr="00FC3DAD">
        <w:tc>
          <w:tcPr>
            <w:tcW w:w="3005" w:type="dxa"/>
            <w:vAlign w:val="center"/>
          </w:tcPr>
          <w:p w14:paraId="0FB03AFC" w14:textId="3859D797" w:rsidR="00820E57" w:rsidRPr="00820E57" w:rsidRDefault="00820E57" w:rsidP="00D46E3B">
            <w:r>
              <w:t>Seguridad Personal</w:t>
            </w:r>
          </w:p>
        </w:tc>
        <w:tc>
          <w:tcPr>
            <w:tcW w:w="5212" w:type="dxa"/>
          </w:tcPr>
          <w:p w14:paraId="76D39FA6" w14:textId="79EA7533" w:rsidR="00820E57" w:rsidRPr="00820E57" w:rsidRDefault="00820E57" w:rsidP="00D46E3B">
            <w:r>
              <w:t>Todos los empleados en riesgo, incluidos los que conducen vehículos de la Flota Gris, están capacitados sobre las precauciones que deben tomar para gestionar su seguridad personal.</w:t>
            </w:r>
          </w:p>
        </w:tc>
        <w:tc>
          <w:tcPr>
            <w:tcW w:w="799" w:type="dxa"/>
          </w:tcPr>
          <w:p w14:paraId="2FA095CC" w14:textId="77777777" w:rsidR="00820E57" w:rsidRPr="00FC3DAD" w:rsidRDefault="00820E57" w:rsidP="00D46E3B">
            <w:pPr>
              <w:rPr>
                <w:b/>
                <w:bCs/>
              </w:rPr>
            </w:pPr>
          </w:p>
        </w:tc>
      </w:tr>
      <w:tr w:rsidR="00820E57" w14:paraId="483FCDFD" w14:textId="77777777" w:rsidTr="00AF402C">
        <w:tc>
          <w:tcPr>
            <w:tcW w:w="9016" w:type="dxa"/>
            <w:gridSpan w:val="3"/>
            <w:vAlign w:val="center"/>
          </w:tcPr>
          <w:p w14:paraId="55D78616" w14:textId="77777777" w:rsidR="00820E57" w:rsidRPr="00FC3DAD" w:rsidRDefault="00820E57" w:rsidP="00D46E3B">
            <w:pPr>
              <w:rPr>
                <w:b/>
                <w:bCs/>
              </w:rPr>
            </w:pPr>
          </w:p>
        </w:tc>
      </w:tr>
      <w:tr w:rsidR="003F3990" w:rsidRPr="003F3990" w14:paraId="224498E1" w14:textId="77777777" w:rsidTr="003F3990">
        <w:trPr>
          <w:trHeight w:val="567"/>
        </w:trPr>
        <w:tc>
          <w:tcPr>
            <w:tcW w:w="9016" w:type="dxa"/>
            <w:gridSpan w:val="3"/>
            <w:shd w:val="clear" w:color="auto" w:fill="1B8C89"/>
            <w:vAlign w:val="center"/>
          </w:tcPr>
          <w:p w14:paraId="5F823BFF" w14:textId="0129EA67" w:rsidR="00820E57" w:rsidRPr="003F3990" w:rsidRDefault="00820E57" w:rsidP="00820E57">
            <w:pPr>
              <w:jc w:val="center"/>
              <w:rPr>
                <w:b/>
                <w:bCs/>
                <w:color w:val="FFFFFF" w:themeColor="background1"/>
              </w:rPr>
            </w:pPr>
            <w:r>
              <w:rPr>
                <w:b/>
                <w:bCs/>
                <w:color w:val="FFFFFF" w:themeColor="background1"/>
                <w:sz w:val="28"/>
                <w:szCs w:val="28"/>
              </w:rPr>
              <w:t>Medida</w:t>
            </w:r>
          </w:p>
        </w:tc>
      </w:tr>
      <w:tr w:rsidR="00820E57" w14:paraId="79A74558" w14:textId="77777777" w:rsidTr="00FC3DAD">
        <w:tc>
          <w:tcPr>
            <w:tcW w:w="3005" w:type="dxa"/>
            <w:vAlign w:val="center"/>
          </w:tcPr>
          <w:p w14:paraId="0CC7A964" w14:textId="1F092CD3" w:rsidR="00820E57" w:rsidRPr="00820E57" w:rsidRDefault="00820E57" w:rsidP="00820E57">
            <w:r>
              <w:rPr>
                <w:b/>
                <w:bCs/>
              </w:rPr>
              <w:t>Tema</w:t>
            </w:r>
          </w:p>
        </w:tc>
        <w:tc>
          <w:tcPr>
            <w:tcW w:w="5212" w:type="dxa"/>
          </w:tcPr>
          <w:p w14:paraId="62BA2A3B" w14:textId="3E09649B" w:rsidR="00820E57" w:rsidRPr="00820E57" w:rsidRDefault="00820E57" w:rsidP="00820E57">
            <w:r>
              <w:rPr>
                <w:b/>
                <w:bCs/>
              </w:rPr>
              <w:t>Detalle</w:t>
            </w:r>
          </w:p>
        </w:tc>
        <w:tc>
          <w:tcPr>
            <w:tcW w:w="799" w:type="dxa"/>
          </w:tcPr>
          <w:p w14:paraId="1AF30F86" w14:textId="096572DE" w:rsidR="00820E57" w:rsidRPr="00FC3DAD" w:rsidRDefault="00820E57" w:rsidP="00820E57">
            <w:pPr>
              <w:rPr>
                <w:b/>
                <w:bCs/>
              </w:rPr>
            </w:pPr>
            <w:r>
              <w:rPr>
                <w:b/>
                <w:bCs/>
              </w:rPr>
              <w:t>Puntuación</w:t>
            </w:r>
          </w:p>
        </w:tc>
      </w:tr>
      <w:tr w:rsidR="00820E57" w:rsidRPr="003F3990" w14:paraId="5D09C30A" w14:textId="77777777" w:rsidTr="00224F20">
        <w:tc>
          <w:tcPr>
            <w:tcW w:w="9016" w:type="dxa"/>
            <w:gridSpan w:val="3"/>
            <w:vAlign w:val="center"/>
          </w:tcPr>
          <w:p w14:paraId="794812E5" w14:textId="54B05F41" w:rsidR="00820E57" w:rsidRPr="003F3990" w:rsidRDefault="00820E57" w:rsidP="00820E57">
            <w:pPr>
              <w:rPr>
                <w:b/>
                <w:bCs/>
                <w:color w:val="1E69AA"/>
              </w:rPr>
            </w:pPr>
            <w:r>
              <w:rPr>
                <w:b/>
                <w:bCs/>
                <w:color w:val="1E69AA"/>
              </w:rPr>
              <w:t>Gestión de accidentes</w:t>
            </w:r>
          </w:p>
        </w:tc>
      </w:tr>
      <w:tr w:rsidR="00820E57" w14:paraId="3E4C564C" w14:textId="77777777" w:rsidTr="00FC3DAD">
        <w:tc>
          <w:tcPr>
            <w:tcW w:w="3005" w:type="dxa"/>
            <w:vAlign w:val="center"/>
          </w:tcPr>
          <w:p w14:paraId="43A98E55" w14:textId="21832122" w:rsidR="00820E57" w:rsidRPr="00820E57" w:rsidRDefault="00820E57" w:rsidP="00820E57">
            <w:r>
              <w:t>Costes directos</w:t>
            </w:r>
          </w:p>
        </w:tc>
        <w:tc>
          <w:tcPr>
            <w:tcW w:w="5212" w:type="dxa"/>
          </w:tcPr>
          <w:p w14:paraId="5AC62AB2" w14:textId="34150ED3" w:rsidR="00820E57" w:rsidRPr="00820E57" w:rsidRDefault="00820E57" w:rsidP="00820E57">
            <w:r>
              <w:t>Todos los interesados conocen y entienden todos los costes de seguro, y cualquier coste por debajo del deducible (por debajo del exceso de seguro) asociados con incidentes de conducción. Esto ayuda a garantizar que todos entiendan las implicaciones completas para el negocio de un accidente.</w:t>
            </w:r>
          </w:p>
        </w:tc>
        <w:tc>
          <w:tcPr>
            <w:tcW w:w="799" w:type="dxa"/>
          </w:tcPr>
          <w:p w14:paraId="7F60C401" w14:textId="77777777" w:rsidR="00820E57" w:rsidRPr="00FC3DAD" w:rsidRDefault="00820E57" w:rsidP="00820E57">
            <w:pPr>
              <w:rPr>
                <w:b/>
                <w:bCs/>
              </w:rPr>
            </w:pPr>
          </w:p>
        </w:tc>
      </w:tr>
      <w:tr w:rsidR="00820E57" w:rsidRPr="003F3990" w14:paraId="4E808F6B" w14:textId="77777777" w:rsidTr="002A252B">
        <w:tc>
          <w:tcPr>
            <w:tcW w:w="9016" w:type="dxa"/>
            <w:gridSpan w:val="3"/>
            <w:vAlign w:val="center"/>
          </w:tcPr>
          <w:p w14:paraId="7D555A92" w14:textId="2C12F3E1" w:rsidR="00820E57" w:rsidRPr="003F3990" w:rsidRDefault="00820E57" w:rsidP="00820E57">
            <w:pPr>
              <w:rPr>
                <w:b/>
                <w:bCs/>
                <w:color w:val="1E69AA"/>
              </w:rPr>
            </w:pPr>
            <w:r>
              <w:rPr>
                <w:b/>
                <w:bCs/>
                <w:color w:val="1E69AA"/>
              </w:rPr>
              <w:t>Indicadores Clave de Rendimiento</w:t>
            </w:r>
          </w:p>
        </w:tc>
      </w:tr>
      <w:tr w:rsidR="00820E57" w14:paraId="02628A62" w14:textId="77777777" w:rsidTr="00FC3DAD">
        <w:tc>
          <w:tcPr>
            <w:tcW w:w="3005" w:type="dxa"/>
            <w:vAlign w:val="center"/>
          </w:tcPr>
          <w:p w14:paraId="773F8E91" w14:textId="3A13A1E1" w:rsidR="00820E57" w:rsidRPr="00820E57" w:rsidRDefault="00820E57" w:rsidP="00820E57">
            <w:r>
              <w:t>Indicadores rezagados</w:t>
            </w:r>
          </w:p>
        </w:tc>
        <w:tc>
          <w:tcPr>
            <w:tcW w:w="5212" w:type="dxa"/>
          </w:tcPr>
          <w:p w14:paraId="5C4D591E" w14:textId="5ACE73DE" w:rsidR="00820E57" w:rsidRPr="00820E57" w:rsidRDefault="00820E57" w:rsidP="00820E57">
            <w:r>
              <w:t>Los indicadores rezagados, incluidos los accidentes por millón de millas (CPMM), los costes de accidentes, el coste de mantenimiento y la cantidad de infracciones de conducción, son conocidos por todos los conductores, incluidos los empleados que conducen vehículos de la Flota Gris, se registran mensualmente y son conocidos y entendidos por todos los interesados.</w:t>
            </w:r>
          </w:p>
        </w:tc>
        <w:tc>
          <w:tcPr>
            <w:tcW w:w="799" w:type="dxa"/>
          </w:tcPr>
          <w:p w14:paraId="1E60CB43" w14:textId="77777777" w:rsidR="00820E57" w:rsidRPr="00FC3DAD" w:rsidRDefault="00820E57" w:rsidP="00820E57">
            <w:pPr>
              <w:rPr>
                <w:b/>
                <w:bCs/>
              </w:rPr>
            </w:pPr>
          </w:p>
        </w:tc>
      </w:tr>
      <w:tr w:rsidR="00820E57" w:rsidRPr="003F3990" w14:paraId="2A2B87C0" w14:textId="77777777" w:rsidTr="007A63DB">
        <w:tc>
          <w:tcPr>
            <w:tcW w:w="9016" w:type="dxa"/>
            <w:gridSpan w:val="3"/>
            <w:vAlign w:val="center"/>
          </w:tcPr>
          <w:p w14:paraId="700FD356" w14:textId="06586BC8" w:rsidR="00820E57" w:rsidRPr="003F3990" w:rsidRDefault="00820E57" w:rsidP="00820E57">
            <w:pPr>
              <w:rPr>
                <w:b/>
                <w:bCs/>
                <w:color w:val="1E69AA"/>
              </w:rPr>
            </w:pPr>
            <w:r>
              <w:rPr>
                <w:b/>
                <w:bCs/>
                <w:color w:val="1E69AA"/>
              </w:rPr>
              <w:t>Informes de Accidentes</w:t>
            </w:r>
          </w:p>
        </w:tc>
      </w:tr>
      <w:tr w:rsidR="00820E57" w14:paraId="6387CD3B" w14:textId="77777777" w:rsidTr="00FC3DAD">
        <w:tc>
          <w:tcPr>
            <w:tcW w:w="3005" w:type="dxa"/>
            <w:vAlign w:val="center"/>
          </w:tcPr>
          <w:p w14:paraId="0D31C8EA" w14:textId="39421D7E" w:rsidR="00820E57" w:rsidRPr="00820E57" w:rsidRDefault="00820E57" w:rsidP="00820E57">
            <w:r>
              <w:t>Informe del conductor</w:t>
            </w:r>
          </w:p>
        </w:tc>
        <w:tc>
          <w:tcPr>
            <w:tcW w:w="5212" w:type="dxa"/>
          </w:tcPr>
          <w:p w14:paraId="49F567B0" w14:textId="739E23FE" w:rsidR="00820E57" w:rsidRPr="00820E57" w:rsidRDefault="00820E57" w:rsidP="00820E57">
            <w:r>
              <w:t>El conductor registra los datos completos, incluyendo fotografías, para cada incidente e informa a las aseguradoras inmediatamente y a</w:t>
            </w:r>
            <w:r w:rsidR="00156AED">
              <w:t xml:space="preserve"> </w:t>
            </w:r>
            <w:r>
              <w:t>l</w:t>
            </w:r>
            <w:r w:rsidR="00156AED">
              <w:t>os</w:t>
            </w:r>
            <w:r>
              <w:t xml:space="preserve"> Superiores Inmediato</w:t>
            </w:r>
            <w:r w:rsidR="00156AED">
              <w:t>s</w:t>
            </w:r>
            <w:r>
              <w:t xml:space="preserve"> en 24 horas.</w:t>
            </w:r>
          </w:p>
        </w:tc>
        <w:tc>
          <w:tcPr>
            <w:tcW w:w="799" w:type="dxa"/>
          </w:tcPr>
          <w:p w14:paraId="6697AAFE" w14:textId="77777777" w:rsidR="00820E57" w:rsidRPr="00FC3DAD" w:rsidRDefault="00820E57" w:rsidP="00820E57">
            <w:pPr>
              <w:rPr>
                <w:b/>
                <w:bCs/>
              </w:rPr>
            </w:pPr>
          </w:p>
        </w:tc>
      </w:tr>
      <w:tr w:rsidR="00820E57" w14:paraId="6A7EB7DD" w14:textId="77777777" w:rsidTr="00FC3DAD">
        <w:tc>
          <w:tcPr>
            <w:tcW w:w="3005" w:type="dxa"/>
            <w:vAlign w:val="center"/>
          </w:tcPr>
          <w:p w14:paraId="43F2EABF" w14:textId="27131F51" w:rsidR="00820E57" w:rsidRPr="00820E57" w:rsidRDefault="00820E57" w:rsidP="00820E57">
            <w:r>
              <w:t>Fichas de accidentes</w:t>
            </w:r>
          </w:p>
        </w:tc>
        <w:tc>
          <w:tcPr>
            <w:tcW w:w="5212" w:type="dxa"/>
          </w:tcPr>
          <w:p w14:paraId="592476CE" w14:textId="5AF9F40D" w:rsidR="00820E57" w:rsidRPr="00820E57" w:rsidRDefault="00820E57" w:rsidP="00820E57">
            <w:r>
              <w:t xml:space="preserve">Todos los conductores, incluidos los empleados que conducen vehículos de la Flota Gris, tienen una ficha de accidentes completa o equivalente, que cubre todos los detalles que serán útiles en el análisis posterior de la causa raíz, así como lo requieren las aseguradoras, para permitir que todos los detalles del incidente se registren de forma sistemática.  Hay evidencia de que estas se </w:t>
            </w:r>
            <w:r>
              <w:lastRenderedPageBreak/>
              <w:t>completan en su totalidad después de cada incidente.</w:t>
            </w:r>
          </w:p>
        </w:tc>
        <w:tc>
          <w:tcPr>
            <w:tcW w:w="799" w:type="dxa"/>
          </w:tcPr>
          <w:p w14:paraId="66EE995F" w14:textId="77777777" w:rsidR="00820E57" w:rsidRPr="00FC3DAD" w:rsidRDefault="00820E57" w:rsidP="00820E57">
            <w:pPr>
              <w:rPr>
                <w:b/>
                <w:bCs/>
              </w:rPr>
            </w:pPr>
          </w:p>
        </w:tc>
      </w:tr>
      <w:tr w:rsidR="00820E57" w:rsidRPr="003F3990" w14:paraId="020B3AEE" w14:textId="77777777" w:rsidTr="00BF50BF">
        <w:tc>
          <w:tcPr>
            <w:tcW w:w="9016" w:type="dxa"/>
            <w:gridSpan w:val="3"/>
            <w:vAlign w:val="center"/>
          </w:tcPr>
          <w:p w14:paraId="637E5EE4" w14:textId="66A6F2B1" w:rsidR="00820E57" w:rsidRPr="003F3990" w:rsidRDefault="00820E57" w:rsidP="00820E57">
            <w:pPr>
              <w:rPr>
                <w:b/>
                <w:bCs/>
                <w:color w:val="1E69AA"/>
              </w:rPr>
            </w:pPr>
            <w:r>
              <w:rPr>
                <w:b/>
                <w:bCs/>
                <w:color w:val="1E69AA"/>
              </w:rPr>
              <w:lastRenderedPageBreak/>
              <w:t>Informes de Gestión</w:t>
            </w:r>
          </w:p>
        </w:tc>
      </w:tr>
      <w:tr w:rsidR="00820E57" w14:paraId="70A0941A" w14:textId="77777777" w:rsidTr="00FC3DAD">
        <w:tc>
          <w:tcPr>
            <w:tcW w:w="3005" w:type="dxa"/>
            <w:vAlign w:val="center"/>
          </w:tcPr>
          <w:p w14:paraId="1E459CAA" w14:textId="172BD4E0" w:rsidR="00820E57" w:rsidRPr="00820E57" w:rsidRDefault="00820E57" w:rsidP="00820E57">
            <w:r>
              <w:t>Visibilidad para la alta gerencia</w:t>
            </w:r>
          </w:p>
        </w:tc>
        <w:tc>
          <w:tcPr>
            <w:tcW w:w="5212" w:type="dxa"/>
          </w:tcPr>
          <w:p w14:paraId="6F97DB41" w14:textId="48AC1AC0" w:rsidR="00820E57" w:rsidRPr="00820E57" w:rsidRDefault="00820E57" w:rsidP="00820E57">
            <w:r>
              <w:t>Todos los Indicadores Clave de Rendimiento del programa de gestión de riesgos viales relacionados con el trabajo se distribuyen a todos los gerentes principales al menos mensualmente.</w:t>
            </w:r>
          </w:p>
        </w:tc>
        <w:tc>
          <w:tcPr>
            <w:tcW w:w="799" w:type="dxa"/>
          </w:tcPr>
          <w:p w14:paraId="2FC340FA" w14:textId="77777777" w:rsidR="00820E57" w:rsidRPr="00FC3DAD" w:rsidRDefault="00820E57" w:rsidP="00820E57">
            <w:pPr>
              <w:rPr>
                <w:b/>
                <w:bCs/>
              </w:rPr>
            </w:pPr>
          </w:p>
        </w:tc>
      </w:tr>
      <w:tr w:rsidR="00820E57" w14:paraId="1F65D112" w14:textId="77777777" w:rsidTr="00550DC5">
        <w:tc>
          <w:tcPr>
            <w:tcW w:w="9016" w:type="dxa"/>
            <w:gridSpan w:val="3"/>
            <w:vAlign w:val="center"/>
          </w:tcPr>
          <w:p w14:paraId="36DB8ABA" w14:textId="77777777" w:rsidR="00820E57" w:rsidRPr="00FC3DAD" w:rsidRDefault="00820E57" w:rsidP="00820E57">
            <w:pPr>
              <w:rPr>
                <w:b/>
                <w:bCs/>
              </w:rPr>
            </w:pPr>
          </w:p>
        </w:tc>
      </w:tr>
      <w:tr w:rsidR="003F3990" w:rsidRPr="003F3990" w14:paraId="75187555" w14:textId="77777777" w:rsidTr="003F3990">
        <w:trPr>
          <w:trHeight w:val="567"/>
        </w:trPr>
        <w:tc>
          <w:tcPr>
            <w:tcW w:w="9016" w:type="dxa"/>
            <w:gridSpan w:val="3"/>
            <w:shd w:val="clear" w:color="auto" w:fill="1B8C89"/>
            <w:vAlign w:val="center"/>
          </w:tcPr>
          <w:p w14:paraId="2BF51AF8" w14:textId="6910EA34" w:rsidR="00820E57" w:rsidRPr="003F3990" w:rsidRDefault="00820E57" w:rsidP="004B47D0">
            <w:pPr>
              <w:jc w:val="center"/>
              <w:rPr>
                <w:b/>
                <w:bCs/>
                <w:color w:val="FFFFFF" w:themeColor="background1"/>
              </w:rPr>
            </w:pPr>
            <w:r>
              <w:rPr>
                <w:b/>
                <w:bCs/>
                <w:color w:val="FFFFFF" w:themeColor="background1"/>
                <w:sz w:val="28"/>
                <w:szCs w:val="28"/>
              </w:rPr>
              <w:t>Conductor</w:t>
            </w:r>
          </w:p>
        </w:tc>
      </w:tr>
      <w:tr w:rsidR="004B47D0" w14:paraId="7825B970" w14:textId="77777777" w:rsidTr="00FC3DAD">
        <w:tc>
          <w:tcPr>
            <w:tcW w:w="3005" w:type="dxa"/>
            <w:vAlign w:val="center"/>
          </w:tcPr>
          <w:p w14:paraId="55A5D8A6" w14:textId="4042EC52" w:rsidR="004B47D0" w:rsidRPr="00820E57" w:rsidRDefault="004B47D0" w:rsidP="004B47D0">
            <w:r>
              <w:rPr>
                <w:b/>
                <w:bCs/>
              </w:rPr>
              <w:t>Tema</w:t>
            </w:r>
          </w:p>
        </w:tc>
        <w:tc>
          <w:tcPr>
            <w:tcW w:w="5212" w:type="dxa"/>
          </w:tcPr>
          <w:p w14:paraId="5675306B" w14:textId="6270CA46" w:rsidR="004B47D0" w:rsidRPr="00820E57" w:rsidRDefault="004B47D0" w:rsidP="004B47D0">
            <w:r>
              <w:rPr>
                <w:b/>
                <w:bCs/>
              </w:rPr>
              <w:t>Detalle</w:t>
            </w:r>
          </w:p>
        </w:tc>
        <w:tc>
          <w:tcPr>
            <w:tcW w:w="799" w:type="dxa"/>
          </w:tcPr>
          <w:p w14:paraId="68CF6A16" w14:textId="1C0CBA05" w:rsidR="004B47D0" w:rsidRPr="00FC3DAD" w:rsidRDefault="004B47D0" w:rsidP="004B47D0">
            <w:pPr>
              <w:rPr>
                <w:b/>
                <w:bCs/>
              </w:rPr>
            </w:pPr>
            <w:r>
              <w:rPr>
                <w:b/>
                <w:bCs/>
              </w:rPr>
              <w:t>Puntuación</w:t>
            </w:r>
          </w:p>
        </w:tc>
      </w:tr>
      <w:tr w:rsidR="004B47D0" w:rsidRPr="003F3990" w14:paraId="7962169A" w14:textId="77777777" w:rsidTr="001465CA">
        <w:tc>
          <w:tcPr>
            <w:tcW w:w="9016" w:type="dxa"/>
            <w:gridSpan w:val="3"/>
            <w:vAlign w:val="center"/>
          </w:tcPr>
          <w:p w14:paraId="70369795" w14:textId="4353842E" w:rsidR="004B47D0" w:rsidRPr="003F3990" w:rsidRDefault="004B47D0" w:rsidP="004B47D0">
            <w:pPr>
              <w:rPr>
                <w:b/>
                <w:bCs/>
                <w:color w:val="1E69AA"/>
              </w:rPr>
            </w:pPr>
            <w:r>
              <w:rPr>
                <w:b/>
                <w:bCs/>
                <w:color w:val="1E69AA"/>
              </w:rPr>
              <w:t>Manual del Conductor</w:t>
            </w:r>
          </w:p>
        </w:tc>
      </w:tr>
      <w:tr w:rsidR="004B47D0" w14:paraId="645F64D0" w14:textId="77777777" w:rsidTr="00FC3DAD">
        <w:tc>
          <w:tcPr>
            <w:tcW w:w="3005" w:type="dxa"/>
            <w:vAlign w:val="center"/>
          </w:tcPr>
          <w:p w14:paraId="2DE5406B" w14:textId="6929073E" w:rsidR="004B47D0" w:rsidRPr="00820E57" w:rsidRDefault="004B47D0" w:rsidP="004B47D0">
            <w:r>
              <w:t>Manuales de conductor suministrados</w:t>
            </w:r>
          </w:p>
        </w:tc>
        <w:tc>
          <w:tcPr>
            <w:tcW w:w="5212" w:type="dxa"/>
          </w:tcPr>
          <w:p w14:paraId="4EE51B24" w14:textId="3E6999D0" w:rsidR="004B47D0" w:rsidRPr="00820E57" w:rsidRDefault="004B47D0" w:rsidP="004B47D0">
            <w:r>
              <w:t>Se proporcionan manuales para conductores a TODOS los empleados que realizan viajes por carretera relacionados con el trabajo, incluidos los empleados que conducen vehículos de la Flota Gris</w:t>
            </w:r>
            <w:r w:rsidR="00156AED">
              <w:t xml:space="preserve">; dichos manuales </w:t>
            </w:r>
            <w:r>
              <w:t>incluyen todos los elementos clave de políticas y procedimientos junto con consejos de conducción segura. El manual debe ayudar a los empleados a cumplir con</w:t>
            </w:r>
            <w:r w:rsidR="00156AED">
              <w:t xml:space="preserve"> las </w:t>
            </w:r>
            <w:r>
              <w:t xml:space="preserve">políticas y </w:t>
            </w:r>
            <w:r w:rsidR="00156AED">
              <w:t xml:space="preserve">los </w:t>
            </w:r>
            <w:r>
              <w:t>procedimientos de conducción segura.</w:t>
            </w:r>
          </w:p>
        </w:tc>
        <w:tc>
          <w:tcPr>
            <w:tcW w:w="799" w:type="dxa"/>
          </w:tcPr>
          <w:p w14:paraId="464F1EDA" w14:textId="77777777" w:rsidR="004B47D0" w:rsidRPr="00FC3DAD" w:rsidRDefault="004B47D0" w:rsidP="004B47D0">
            <w:pPr>
              <w:rPr>
                <w:b/>
                <w:bCs/>
              </w:rPr>
            </w:pPr>
          </w:p>
        </w:tc>
      </w:tr>
      <w:tr w:rsidR="004B47D0" w14:paraId="4C6E7E86" w14:textId="77777777" w:rsidTr="00FC3DAD">
        <w:tc>
          <w:tcPr>
            <w:tcW w:w="3005" w:type="dxa"/>
            <w:vAlign w:val="center"/>
          </w:tcPr>
          <w:p w14:paraId="29D9EC34" w14:textId="004D8F67" w:rsidR="004B47D0" w:rsidRPr="004B47D0" w:rsidRDefault="004B47D0" w:rsidP="004B47D0">
            <w:r>
              <w:t>Revisión y actualización</w:t>
            </w:r>
          </w:p>
        </w:tc>
        <w:tc>
          <w:tcPr>
            <w:tcW w:w="5212" w:type="dxa"/>
          </w:tcPr>
          <w:p w14:paraId="28473D37" w14:textId="297F09CE" w:rsidR="004B47D0" w:rsidRPr="004B47D0" w:rsidRDefault="004B47D0" w:rsidP="004B47D0">
            <w:r>
              <w:t>Los manuales se revisan anualmente y/o cada vez que se realizan cambios significativos en las políticas y procedimientos o consejos de seguridad de conducción y se actualizan en consecuencia.</w:t>
            </w:r>
          </w:p>
        </w:tc>
        <w:tc>
          <w:tcPr>
            <w:tcW w:w="799" w:type="dxa"/>
          </w:tcPr>
          <w:p w14:paraId="500434E8" w14:textId="77777777" w:rsidR="004B47D0" w:rsidRPr="00FC3DAD" w:rsidRDefault="004B47D0" w:rsidP="004B47D0">
            <w:pPr>
              <w:rPr>
                <w:b/>
                <w:bCs/>
              </w:rPr>
            </w:pPr>
          </w:p>
        </w:tc>
      </w:tr>
      <w:tr w:rsidR="004B47D0" w:rsidRPr="003F3990" w14:paraId="5B029D65" w14:textId="77777777" w:rsidTr="004C5DF4">
        <w:tc>
          <w:tcPr>
            <w:tcW w:w="9016" w:type="dxa"/>
            <w:gridSpan w:val="3"/>
            <w:vAlign w:val="center"/>
          </w:tcPr>
          <w:p w14:paraId="57BF2531" w14:textId="16084D4F" w:rsidR="004B47D0" w:rsidRPr="003F3990" w:rsidRDefault="004B47D0" w:rsidP="004B47D0">
            <w:pPr>
              <w:rPr>
                <w:b/>
                <w:bCs/>
                <w:color w:val="1E69AA"/>
              </w:rPr>
            </w:pPr>
            <w:r>
              <w:rPr>
                <w:b/>
                <w:bCs/>
                <w:color w:val="1E69AA"/>
              </w:rPr>
              <w:t>Responsabilidades del Conductor</w:t>
            </w:r>
          </w:p>
        </w:tc>
      </w:tr>
      <w:tr w:rsidR="004B47D0" w14:paraId="348150B1" w14:textId="77777777" w:rsidTr="00FC3DAD">
        <w:tc>
          <w:tcPr>
            <w:tcW w:w="3005" w:type="dxa"/>
            <w:vAlign w:val="center"/>
          </w:tcPr>
          <w:p w14:paraId="33702EC3" w14:textId="07A96E4D" w:rsidR="004B47D0" w:rsidRPr="004B47D0" w:rsidRDefault="004B47D0" w:rsidP="004B47D0">
            <w:r>
              <w:t>Capacidad para conducir</w:t>
            </w:r>
          </w:p>
        </w:tc>
        <w:tc>
          <w:tcPr>
            <w:tcW w:w="5212" w:type="dxa"/>
          </w:tcPr>
          <w:p w14:paraId="71BEAB62" w14:textId="42413FA4" w:rsidR="004B47D0" w:rsidRPr="004B47D0" w:rsidRDefault="004B47D0" w:rsidP="004B47D0">
            <w:r>
              <w:t>Todos los conductores, incluidos los empleados que conducen vehículos de la Flota Gris, se aseguran de que estén en condiciones de conducir antes de realizar CUALQUIER viaje por carretera relacionado con el trabajo.</w:t>
            </w:r>
            <w:r>
              <w:cr/>
            </w:r>
            <w:r w:rsidR="00156AED">
              <w:t xml:space="preserve"> </w:t>
            </w:r>
            <w:r>
              <w:t>Esto incluye cuestiones relacionadas con la salud, la vista, la discapacidad y la fatiga.</w:t>
            </w:r>
          </w:p>
        </w:tc>
        <w:tc>
          <w:tcPr>
            <w:tcW w:w="799" w:type="dxa"/>
          </w:tcPr>
          <w:p w14:paraId="3AC1B674" w14:textId="77777777" w:rsidR="004B47D0" w:rsidRPr="00FC3DAD" w:rsidRDefault="004B47D0" w:rsidP="004B47D0">
            <w:pPr>
              <w:rPr>
                <w:b/>
                <w:bCs/>
              </w:rPr>
            </w:pPr>
          </w:p>
        </w:tc>
      </w:tr>
      <w:tr w:rsidR="004B47D0" w14:paraId="1AF4EA03" w14:textId="77777777" w:rsidTr="00FC3DAD">
        <w:tc>
          <w:tcPr>
            <w:tcW w:w="3005" w:type="dxa"/>
            <w:vAlign w:val="center"/>
          </w:tcPr>
          <w:p w14:paraId="35764219" w14:textId="52DF5AF7" w:rsidR="004B47D0" w:rsidRPr="004B47D0" w:rsidRDefault="004B47D0" w:rsidP="004B47D0">
            <w:r>
              <w:t>Cumplimiento con la ley</w:t>
            </w:r>
          </w:p>
        </w:tc>
        <w:tc>
          <w:tcPr>
            <w:tcW w:w="5212" w:type="dxa"/>
          </w:tcPr>
          <w:p w14:paraId="14D28C2E" w14:textId="5C333D29" w:rsidR="004B47D0" w:rsidRPr="004B47D0" w:rsidRDefault="004B47D0" w:rsidP="004B47D0">
            <w:r>
              <w:t>Todos los conductores, incluidos los empleados que conducen vehículos de la Flota Gris, cumplen plenamente con toda la legislación local.  Hay una auditoría de seguimiento que demuestra que la mayoría de los conductores cumple con esta obligación (p. ej. por multas por exceso de velocidad).</w:t>
            </w:r>
          </w:p>
        </w:tc>
        <w:tc>
          <w:tcPr>
            <w:tcW w:w="799" w:type="dxa"/>
          </w:tcPr>
          <w:p w14:paraId="6C58850B" w14:textId="77777777" w:rsidR="004B47D0" w:rsidRPr="00FC3DAD" w:rsidRDefault="004B47D0" w:rsidP="004B47D0">
            <w:pPr>
              <w:rPr>
                <w:b/>
                <w:bCs/>
              </w:rPr>
            </w:pPr>
          </w:p>
        </w:tc>
      </w:tr>
      <w:tr w:rsidR="004B47D0" w14:paraId="5D753C4B" w14:textId="77777777" w:rsidTr="00FC3DAD">
        <w:tc>
          <w:tcPr>
            <w:tcW w:w="3005" w:type="dxa"/>
            <w:vAlign w:val="center"/>
          </w:tcPr>
          <w:p w14:paraId="6B21B414" w14:textId="459A3763" w:rsidR="004B47D0" w:rsidRPr="004B47D0" w:rsidRDefault="004B47D0" w:rsidP="004B47D0">
            <w:r>
              <w:t>Informe de cambios en las circunstancias</w:t>
            </w:r>
          </w:p>
        </w:tc>
        <w:tc>
          <w:tcPr>
            <w:tcW w:w="5212" w:type="dxa"/>
          </w:tcPr>
          <w:p w14:paraId="07064BF2" w14:textId="0B831DA7" w:rsidR="004B47D0" w:rsidRPr="004B47D0" w:rsidRDefault="004B47D0" w:rsidP="004B47D0">
            <w:r>
              <w:t>Todos los conductores, incluidos los empleados que conducen vehículos de la Flota Gris, están totalmente obligados a notificar a su Superior Inmediato sobre cualquier cambio en las circunstancias que podrían cambiar los riesgos que enfrentan.  Esto incluye problemas de salud, cambios de dirección y cambios en</w:t>
            </w:r>
            <w:r w:rsidR="00156AED">
              <w:t xml:space="preserve"> cuanto a</w:t>
            </w:r>
            <w:r>
              <w:t xml:space="preserve"> los permisos de conducir.</w:t>
            </w:r>
          </w:p>
        </w:tc>
        <w:tc>
          <w:tcPr>
            <w:tcW w:w="799" w:type="dxa"/>
          </w:tcPr>
          <w:p w14:paraId="179C2CF4" w14:textId="77777777" w:rsidR="004B47D0" w:rsidRPr="00FC3DAD" w:rsidRDefault="004B47D0" w:rsidP="004B47D0">
            <w:pPr>
              <w:rPr>
                <w:b/>
                <w:bCs/>
              </w:rPr>
            </w:pPr>
          </w:p>
        </w:tc>
      </w:tr>
      <w:tr w:rsidR="004B47D0" w14:paraId="7EB6A9D2" w14:textId="77777777" w:rsidTr="00FC3DAD">
        <w:tc>
          <w:tcPr>
            <w:tcW w:w="3005" w:type="dxa"/>
            <w:vAlign w:val="center"/>
          </w:tcPr>
          <w:p w14:paraId="5746ADBE" w14:textId="3F235E50" w:rsidR="004B47D0" w:rsidRPr="004B47D0" w:rsidRDefault="004B47D0" w:rsidP="004B47D0">
            <w:r>
              <w:t>Seguridad del vehículo</w:t>
            </w:r>
          </w:p>
        </w:tc>
        <w:tc>
          <w:tcPr>
            <w:tcW w:w="5212" w:type="dxa"/>
          </w:tcPr>
          <w:p w14:paraId="4D843E12" w14:textId="17D7A481" w:rsidR="004B47D0" w:rsidRPr="004B47D0" w:rsidRDefault="004B47D0" w:rsidP="004B47D0">
            <w:r>
              <w:t xml:space="preserve">Todos los conductores, incluidos los empleados que conducen vehículos de la Flota Gris, son plenamente conscientes de su obligación de garantizar que el vehículo que utilizan para viajes </w:t>
            </w:r>
            <w:r>
              <w:lastRenderedPageBreak/>
              <w:t>por carretera relacionados con el trabajo, independientemente de su propiedad, sea completamente legal y cumpla con los requisitos mínimos de seguridad de la empresa. Existen pruebas de que esta obligación generalmente se cumple (p. ej. de los registros de mantenimiento, como los vehículos que tienen uno o más neumáticos defectuosos).</w:t>
            </w:r>
          </w:p>
        </w:tc>
        <w:tc>
          <w:tcPr>
            <w:tcW w:w="799" w:type="dxa"/>
          </w:tcPr>
          <w:p w14:paraId="654E0F87" w14:textId="77777777" w:rsidR="004B47D0" w:rsidRPr="00FC3DAD" w:rsidRDefault="004B47D0" w:rsidP="004B47D0">
            <w:pPr>
              <w:rPr>
                <w:b/>
                <w:bCs/>
              </w:rPr>
            </w:pPr>
          </w:p>
        </w:tc>
      </w:tr>
      <w:tr w:rsidR="004B47D0" w14:paraId="170BC903" w14:textId="77777777" w:rsidTr="006755D3">
        <w:tc>
          <w:tcPr>
            <w:tcW w:w="9016" w:type="dxa"/>
            <w:gridSpan w:val="3"/>
            <w:vAlign w:val="center"/>
          </w:tcPr>
          <w:p w14:paraId="246D7AC6" w14:textId="77777777" w:rsidR="004B47D0" w:rsidRPr="00FC3DAD" w:rsidRDefault="004B47D0" w:rsidP="004B47D0">
            <w:pPr>
              <w:rPr>
                <w:b/>
                <w:bCs/>
              </w:rPr>
            </w:pPr>
          </w:p>
        </w:tc>
      </w:tr>
      <w:tr w:rsidR="003F3990" w:rsidRPr="003F3990" w14:paraId="11F17997" w14:textId="77777777" w:rsidTr="003F3990">
        <w:trPr>
          <w:trHeight w:val="567"/>
        </w:trPr>
        <w:tc>
          <w:tcPr>
            <w:tcW w:w="9016" w:type="dxa"/>
            <w:gridSpan w:val="3"/>
            <w:shd w:val="clear" w:color="auto" w:fill="1B8C89"/>
            <w:vAlign w:val="center"/>
          </w:tcPr>
          <w:p w14:paraId="69AC4C21" w14:textId="24D6C47D" w:rsidR="004B47D0" w:rsidRPr="003F3990" w:rsidRDefault="004B47D0" w:rsidP="004B47D0">
            <w:pPr>
              <w:jc w:val="center"/>
              <w:rPr>
                <w:b/>
                <w:bCs/>
                <w:color w:val="FFFFFF" w:themeColor="background1"/>
              </w:rPr>
            </w:pPr>
            <w:r>
              <w:rPr>
                <w:b/>
                <w:bCs/>
                <w:color w:val="FFFFFF" w:themeColor="background1"/>
                <w:sz w:val="28"/>
                <w:szCs w:val="28"/>
              </w:rPr>
              <w:t>Viaje</w:t>
            </w:r>
          </w:p>
        </w:tc>
      </w:tr>
      <w:tr w:rsidR="004B47D0" w14:paraId="3A8CE350" w14:textId="77777777" w:rsidTr="00FC3DAD">
        <w:tc>
          <w:tcPr>
            <w:tcW w:w="3005" w:type="dxa"/>
            <w:vAlign w:val="center"/>
          </w:tcPr>
          <w:p w14:paraId="4E9D80F8" w14:textId="551B4EFB" w:rsidR="004B47D0" w:rsidRPr="004B47D0" w:rsidRDefault="004B47D0" w:rsidP="004B47D0">
            <w:r>
              <w:rPr>
                <w:b/>
                <w:bCs/>
              </w:rPr>
              <w:t>Tema</w:t>
            </w:r>
          </w:p>
        </w:tc>
        <w:tc>
          <w:tcPr>
            <w:tcW w:w="5212" w:type="dxa"/>
          </w:tcPr>
          <w:p w14:paraId="0B6988E2" w14:textId="13B1D737" w:rsidR="004B47D0" w:rsidRPr="004B47D0" w:rsidRDefault="004B47D0" w:rsidP="004B47D0">
            <w:r>
              <w:rPr>
                <w:b/>
                <w:bCs/>
              </w:rPr>
              <w:t>Detalle</w:t>
            </w:r>
          </w:p>
        </w:tc>
        <w:tc>
          <w:tcPr>
            <w:tcW w:w="799" w:type="dxa"/>
          </w:tcPr>
          <w:p w14:paraId="6AB4F0F5" w14:textId="289A1F44" w:rsidR="004B47D0" w:rsidRPr="00FC3DAD" w:rsidRDefault="004B47D0" w:rsidP="004B47D0">
            <w:pPr>
              <w:rPr>
                <w:b/>
                <w:bCs/>
              </w:rPr>
            </w:pPr>
            <w:r>
              <w:rPr>
                <w:b/>
                <w:bCs/>
              </w:rPr>
              <w:t>Puntuación</w:t>
            </w:r>
          </w:p>
        </w:tc>
      </w:tr>
      <w:tr w:rsidR="004B47D0" w:rsidRPr="003F3990" w14:paraId="696FC9CA" w14:textId="77777777" w:rsidTr="008F2419">
        <w:tc>
          <w:tcPr>
            <w:tcW w:w="9016" w:type="dxa"/>
            <w:gridSpan w:val="3"/>
            <w:vAlign w:val="center"/>
          </w:tcPr>
          <w:p w14:paraId="39C58443" w14:textId="7F8378FD" w:rsidR="004B47D0" w:rsidRPr="003F3990" w:rsidRDefault="004B47D0" w:rsidP="004B47D0">
            <w:pPr>
              <w:rPr>
                <w:b/>
                <w:bCs/>
                <w:color w:val="1E69AA"/>
              </w:rPr>
            </w:pPr>
            <w:r>
              <w:rPr>
                <w:b/>
                <w:bCs/>
                <w:color w:val="1E69AA"/>
              </w:rPr>
              <w:t>Evaluación de la necesidad de viajar</w:t>
            </w:r>
          </w:p>
        </w:tc>
      </w:tr>
      <w:tr w:rsidR="004B47D0" w14:paraId="6753812E" w14:textId="77777777" w:rsidTr="00FC3DAD">
        <w:tc>
          <w:tcPr>
            <w:tcW w:w="3005" w:type="dxa"/>
            <w:vAlign w:val="center"/>
          </w:tcPr>
          <w:p w14:paraId="28BCD2E9" w14:textId="4230089D" w:rsidR="004B47D0" w:rsidRPr="004B47D0" w:rsidRDefault="004B47D0" w:rsidP="004B47D0">
            <w:r>
              <w:t>Los viajes innecesarios son eliminados.</w:t>
            </w:r>
          </w:p>
        </w:tc>
        <w:tc>
          <w:tcPr>
            <w:tcW w:w="5212" w:type="dxa"/>
          </w:tcPr>
          <w:p w14:paraId="6EF3EDB3" w14:textId="55F1231B" w:rsidR="004B47D0" w:rsidRPr="004B47D0" w:rsidRDefault="004B47D0" w:rsidP="004B47D0">
            <w:r>
              <w:t>Los viajes se eliminan siempre que sea posible, a través de cambios en las prácticas operativas (p. ej. mediante el uso de videoconferencia para reemplazar la necesidad de viajar en algunos casos).</w:t>
            </w:r>
          </w:p>
        </w:tc>
        <w:tc>
          <w:tcPr>
            <w:tcW w:w="799" w:type="dxa"/>
          </w:tcPr>
          <w:p w14:paraId="1EF2E54D" w14:textId="77777777" w:rsidR="004B47D0" w:rsidRPr="00FC3DAD" w:rsidRDefault="004B47D0" w:rsidP="004B47D0">
            <w:pPr>
              <w:rPr>
                <w:b/>
                <w:bCs/>
              </w:rPr>
            </w:pPr>
          </w:p>
        </w:tc>
      </w:tr>
      <w:tr w:rsidR="004B47D0" w:rsidRPr="003F3990" w14:paraId="5ECA3268" w14:textId="77777777" w:rsidTr="00296508">
        <w:tc>
          <w:tcPr>
            <w:tcW w:w="9016" w:type="dxa"/>
            <w:gridSpan w:val="3"/>
            <w:vAlign w:val="center"/>
          </w:tcPr>
          <w:p w14:paraId="2F22A2BE" w14:textId="3456AAD6" w:rsidR="004B47D0" w:rsidRPr="003F3990" w:rsidRDefault="004B47D0" w:rsidP="004B47D0">
            <w:pPr>
              <w:rPr>
                <w:b/>
                <w:bCs/>
                <w:color w:val="1E69AA"/>
              </w:rPr>
            </w:pPr>
            <w:r>
              <w:rPr>
                <w:b/>
                <w:bCs/>
                <w:color w:val="1E69AA"/>
              </w:rPr>
              <w:t>Formas alternativas de viajar</w:t>
            </w:r>
          </w:p>
        </w:tc>
      </w:tr>
      <w:tr w:rsidR="004B47D0" w14:paraId="78AC74BB" w14:textId="77777777" w:rsidTr="00FC3DAD">
        <w:tc>
          <w:tcPr>
            <w:tcW w:w="3005" w:type="dxa"/>
            <w:vAlign w:val="center"/>
          </w:tcPr>
          <w:p w14:paraId="080E1B6F" w14:textId="21A5E549" w:rsidR="004B47D0" w:rsidRPr="004B47D0" w:rsidRDefault="004B47D0" w:rsidP="004B47D0">
            <w:r>
              <w:t>Se minimizan los viajes por carretera.</w:t>
            </w:r>
          </w:p>
        </w:tc>
        <w:tc>
          <w:tcPr>
            <w:tcW w:w="5212" w:type="dxa"/>
          </w:tcPr>
          <w:p w14:paraId="203F20C2" w14:textId="55D1AC02" w:rsidR="004B47D0" w:rsidRPr="004B47D0" w:rsidRDefault="004B47D0" w:rsidP="004B47D0">
            <w:r>
              <w:t>Existe un proceso para garantizar que las alternativas de transporte más seguras siempre se deben considerar y utilizar cuando sea apropiado (p. ej. utilizando el transporte aéreo o en tren).</w:t>
            </w:r>
          </w:p>
        </w:tc>
        <w:tc>
          <w:tcPr>
            <w:tcW w:w="799" w:type="dxa"/>
          </w:tcPr>
          <w:p w14:paraId="30D86521" w14:textId="77777777" w:rsidR="004B47D0" w:rsidRPr="00FC3DAD" w:rsidRDefault="004B47D0" w:rsidP="004B47D0">
            <w:pPr>
              <w:rPr>
                <w:b/>
                <w:bCs/>
              </w:rPr>
            </w:pPr>
          </w:p>
        </w:tc>
      </w:tr>
      <w:tr w:rsidR="004B47D0" w:rsidRPr="003F3990" w14:paraId="2C5AFA52" w14:textId="77777777" w:rsidTr="008B7CBE">
        <w:tc>
          <w:tcPr>
            <w:tcW w:w="9016" w:type="dxa"/>
            <w:gridSpan w:val="3"/>
            <w:vAlign w:val="center"/>
          </w:tcPr>
          <w:p w14:paraId="0E0336D3" w14:textId="5C18B1E8" w:rsidR="004B47D0" w:rsidRPr="003F3990" w:rsidRDefault="004B47D0" w:rsidP="004B47D0">
            <w:pPr>
              <w:rPr>
                <w:b/>
                <w:bCs/>
                <w:color w:val="1E69AA"/>
              </w:rPr>
            </w:pPr>
            <w:r>
              <w:rPr>
                <w:b/>
                <w:bCs/>
                <w:color w:val="1E69AA"/>
              </w:rPr>
              <w:t>Condiciones Climáticas Adversas</w:t>
            </w:r>
          </w:p>
        </w:tc>
      </w:tr>
      <w:tr w:rsidR="004B47D0" w14:paraId="38F205AD" w14:textId="77777777" w:rsidTr="00FC3DAD">
        <w:tc>
          <w:tcPr>
            <w:tcW w:w="3005" w:type="dxa"/>
            <w:vAlign w:val="center"/>
          </w:tcPr>
          <w:p w14:paraId="19F3EAB8" w14:textId="0D6E15D4" w:rsidR="004B47D0" w:rsidRPr="004B47D0" w:rsidRDefault="004B47D0" w:rsidP="004B47D0">
            <w:r>
              <w:t>Conducción en climas extremos</w:t>
            </w:r>
          </w:p>
        </w:tc>
        <w:tc>
          <w:tcPr>
            <w:tcW w:w="5212" w:type="dxa"/>
          </w:tcPr>
          <w:p w14:paraId="3D80428D" w14:textId="7F231ED7" w:rsidR="004B47D0" w:rsidRPr="004B47D0" w:rsidRDefault="004B47D0" w:rsidP="004B47D0">
            <w:r>
              <w:t>No se realizan viajes en condiciones climáticas extremas, donde las autoridades han aconsejado no viajar o donde su evaluación dinámica de riesgos muestra que existen riesgos inaceptables.</w:t>
            </w:r>
          </w:p>
        </w:tc>
        <w:tc>
          <w:tcPr>
            <w:tcW w:w="799" w:type="dxa"/>
          </w:tcPr>
          <w:p w14:paraId="7C85ED6A" w14:textId="77777777" w:rsidR="004B47D0" w:rsidRPr="00FC3DAD" w:rsidRDefault="004B47D0" w:rsidP="004B47D0">
            <w:pPr>
              <w:rPr>
                <w:b/>
                <w:bCs/>
              </w:rPr>
            </w:pPr>
          </w:p>
        </w:tc>
      </w:tr>
      <w:tr w:rsidR="004B47D0" w:rsidRPr="003F3990" w14:paraId="55EC66F7" w14:textId="77777777" w:rsidTr="00F063ED">
        <w:tc>
          <w:tcPr>
            <w:tcW w:w="9016" w:type="dxa"/>
            <w:gridSpan w:val="3"/>
            <w:vAlign w:val="center"/>
          </w:tcPr>
          <w:p w14:paraId="4BBABCDE" w14:textId="417290A6" w:rsidR="004B47D0" w:rsidRPr="003F3990" w:rsidRDefault="004B47D0" w:rsidP="004B47D0">
            <w:pPr>
              <w:rPr>
                <w:b/>
                <w:bCs/>
                <w:color w:val="1E69AA"/>
              </w:rPr>
            </w:pPr>
            <w:r>
              <w:rPr>
                <w:b/>
                <w:bCs/>
                <w:color w:val="1E69AA"/>
              </w:rPr>
              <w:t>Planificación del Viaje</w:t>
            </w:r>
          </w:p>
        </w:tc>
      </w:tr>
      <w:tr w:rsidR="004B47D0" w14:paraId="5A1D0D7A" w14:textId="77777777" w:rsidTr="00FC3DAD">
        <w:tc>
          <w:tcPr>
            <w:tcW w:w="3005" w:type="dxa"/>
            <w:vAlign w:val="center"/>
          </w:tcPr>
          <w:p w14:paraId="73C7FF7A" w14:textId="55F5EEAE" w:rsidR="004B47D0" w:rsidRPr="004B47D0" w:rsidRDefault="004B47D0" w:rsidP="004B47D0">
            <w:r>
              <w:t>Planificación</w:t>
            </w:r>
          </w:p>
        </w:tc>
        <w:tc>
          <w:tcPr>
            <w:tcW w:w="5212" w:type="dxa"/>
          </w:tcPr>
          <w:p w14:paraId="5AA0EDFE" w14:textId="543DBB0C" w:rsidR="004B47D0" w:rsidRPr="004B47D0" w:rsidRDefault="004B47D0" w:rsidP="004B47D0">
            <w:r>
              <w:t>Todos los empleados, incluidos los que conducen vehículos de la Flota Gris, están capacitados sobre cómo establecer horarios seguros y efectivos y/o estos se establecen para ellos.</w:t>
            </w:r>
          </w:p>
        </w:tc>
        <w:tc>
          <w:tcPr>
            <w:tcW w:w="799" w:type="dxa"/>
          </w:tcPr>
          <w:p w14:paraId="6AD72115" w14:textId="77777777" w:rsidR="004B47D0" w:rsidRPr="00FC3DAD" w:rsidRDefault="004B47D0" w:rsidP="004B47D0">
            <w:pPr>
              <w:rPr>
                <w:b/>
                <w:bCs/>
              </w:rPr>
            </w:pPr>
          </w:p>
        </w:tc>
      </w:tr>
      <w:tr w:rsidR="004B47D0" w14:paraId="6B783339" w14:textId="77777777" w:rsidTr="00FC3DAD">
        <w:tc>
          <w:tcPr>
            <w:tcW w:w="3005" w:type="dxa"/>
            <w:vAlign w:val="center"/>
          </w:tcPr>
          <w:p w14:paraId="034948EB" w14:textId="1E14FD5E" w:rsidR="004B47D0" w:rsidRPr="004B47D0" w:rsidRDefault="004B47D0" w:rsidP="004B47D0">
            <w:r>
              <w:t>Planificación de la Ruta</w:t>
            </w:r>
          </w:p>
        </w:tc>
        <w:tc>
          <w:tcPr>
            <w:tcW w:w="5212" w:type="dxa"/>
          </w:tcPr>
          <w:p w14:paraId="2D7F1180" w14:textId="58E4FEE9" w:rsidR="004B47D0" w:rsidRPr="004B47D0" w:rsidRDefault="004B47D0" w:rsidP="004B47D0">
            <w:r>
              <w:t>Todos los empleados, incluidos los que conducen vehículos de la Flota Gris, están capacitados sobre cómo planificar una ruta segura y/o se les establece una ruta segura.</w:t>
            </w:r>
          </w:p>
        </w:tc>
        <w:tc>
          <w:tcPr>
            <w:tcW w:w="799" w:type="dxa"/>
          </w:tcPr>
          <w:p w14:paraId="7ECF22D5" w14:textId="77777777" w:rsidR="004B47D0" w:rsidRPr="00FC3DAD" w:rsidRDefault="004B47D0" w:rsidP="004B47D0">
            <w:pPr>
              <w:rPr>
                <w:b/>
                <w:bCs/>
              </w:rPr>
            </w:pPr>
          </w:p>
        </w:tc>
      </w:tr>
      <w:tr w:rsidR="004B47D0" w14:paraId="553B4023" w14:textId="77777777" w:rsidTr="001C5DB0">
        <w:tc>
          <w:tcPr>
            <w:tcW w:w="9016" w:type="dxa"/>
            <w:gridSpan w:val="3"/>
            <w:vAlign w:val="center"/>
          </w:tcPr>
          <w:p w14:paraId="0473456E" w14:textId="77777777" w:rsidR="004B47D0" w:rsidRPr="00FC3DAD" w:rsidRDefault="004B47D0" w:rsidP="004B47D0">
            <w:pPr>
              <w:rPr>
                <w:b/>
                <w:bCs/>
              </w:rPr>
            </w:pPr>
          </w:p>
        </w:tc>
      </w:tr>
      <w:tr w:rsidR="003F3990" w:rsidRPr="003F3990" w14:paraId="1C7052E7" w14:textId="77777777" w:rsidTr="003F3990">
        <w:trPr>
          <w:trHeight w:val="567"/>
        </w:trPr>
        <w:tc>
          <w:tcPr>
            <w:tcW w:w="9016" w:type="dxa"/>
            <w:gridSpan w:val="3"/>
            <w:shd w:val="clear" w:color="auto" w:fill="1B8C89"/>
            <w:vAlign w:val="center"/>
          </w:tcPr>
          <w:p w14:paraId="70D45290" w14:textId="728098EA" w:rsidR="004B47D0" w:rsidRPr="003F3990" w:rsidRDefault="004B47D0" w:rsidP="004B47D0">
            <w:pPr>
              <w:jc w:val="center"/>
              <w:rPr>
                <w:b/>
                <w:bCs/>
                <w:color w:val="FFFFFF" w:themeColor="background1"/>
              </w:rPr>
            </w:pPr>
            <w:r>
              <w:rPr>
                <w:b/>
                <w:bCs/>
                <w:color w:val="FFFFFF" w:themeColor="background1"/>
                <w:sz w:val="28"/>
                <w:szCs w:val="28"/>
              </w:rPr>
              <w:t>Vehículo</w:t>
            </w:r>
          </w:p>
        </w:tc>
      </w:tr>
      <w:tr w:rsidR="004B47D0" w14:paraId="5321475B" w14:textId="77777777" w:rsidTr="00FC3DAD">
        <w:tc>
          <w:tcPr>
            <w:tcW w:w="3005" w:type="dxa"/>
            <w:vAlign w:val="center"/>
          </w:tcPr>
          <w:p w14:paraId="7D362E57" w14:textId="6F15F142" w:rsidR="004B47D0" w:rsidRPr="004B47D0" w:rsidRDefault="004B47D0" w:rsidP="004B47D0">
            <w:r>
              <w:rPr>
                <w:b/>
                <w:bCs/>
              </w:rPr>
              <w:t>Tema</w:t>
            </w:r>
          </w:p>
        </w:tc>
        <w:tc>
          <w:tcPr>
            <w:tcW w:w="5212" w:type="dxa"/>
          </w:tcPr>
          <w:p w14:paraId="229CC295" w14:textId="37D56FE9" w:rsidR="004B47D0" w:rsidRPr="004B47D0" w:rsidRDefault="004B47D0" w:rsidP="004B47D0">
            <w:r>
              <w:rPr>
                <w:b/>
                <w:bCs/>
              </w:rPr>
              <w:t>Detalle</w:t>
            </w:r>
          </w:p>
        </w:tc>
        <w:tc>
          <w:tcPr>
            <w:tcW w:w="799" w:type="dxa"/>
          </w:tcPr>
          <w:p w14:paraId="72E19515" w14:textId="1232FCAA" w:rsidR="004B47D0" w:rsidRPr="00FC3DAD" w:rsidRDefault="004B47D0" w:rsidP="004B47D0">
            <w:pPr>
              <w:rPr>
                <w:b/>
                <w:bCs/>
              </w:rPr>
            </w:pPr>
            <w:r>
              <w:rPr>
                <w:b/>
                <w:bCs/>
              </w:rPr>
              <w:t>Puntuación</w:t>
            </w:r>
          </w:p>
        </w:tc>
      </w:tr>
      <w:tr w:rsidR="004B47D0" w:rsidRPr="003F3990" w14:paraId="7B9DF2A5" w14:textId="77777777" w:rsidTr="00386547">
        <w:tc>
          <w:tcPr>
            <w:tcW w:w="9016" w:type="dxa"/>
            <w:gridSpan w:val="3"/>
            <w:vAlign w:val="center"/>
          </w:tcPr>
          <w:p w14:paraId="4AA6C9F1" w14:textId="1940914A" w:rsidR="004B47D0" w:rsidRPr="003F3990" w:rsidRDefault="004B47D0" w:rsidP="004B47D0">
            <w:pPr>
              <w:rPr>
                <w:b/>
                <w:bCs/>
                <w:color w:val="1E69AA"/>
              </w:rPr>
            </w:pPr>
            <w:r>
              <w:rPr>
                <w:b/>
                <w:bCs/>
                <w:color w:val="1E69AA"/>
              </w:rPr>
              <w:t>Selección del Vehículo</w:t>
            </w:r>
          </w:p>
        </w:tc>
      </w:tr>
      <w:tr w:rsidR="004B47D0" w:rsidRPr="003F3990" w14:paraId="3E748C2F" w14:textId="77777777" w:rsidTr="00FC3DAD">
        <w:tc>
          <w:tcPr>
            <w:tcW w:w="3005" w:type="dxa"/>
            <w:vAlign w:val="center"/>
          </w:tcPr>
          <w:p w14:paraId="131030D6" w14:textId="27239EB2" w:rsidR="004B47D0" w:rsidRPr="003F3990" w:rsidRDefault="004B47D0" w:rsidP="004B47D0">
            <w:r>
              <w:t>Los vehículos se adecuan al propósito</w:t>
            </w:r>
          </w:p>
        </w:tc>
        <w:tc>
          <w:tcPr>
            <w:tcW w:w="5212" w:type="dxa"/>
          </w:tcPr>
          <w:p w14:paraId="6F2E324B" w14:textId="3A6A8E35" w:rsidR="004B47D0" w:rsidRPr="003F3990" w:rsidRDefault="004B47D0" w:rsidP="004B47D0">
            <w:r>
              <w:t xml:space="preserve">Todos los vehículos, incluidos los vehículos de la Flota Gris, son adecuados para los viajes requeridos (adecuados para el propósito). Esto incluye problemas ergonómicos en torno a las posiciones de los asientos, lo que se transporta en el vehículo y la carga/descarga. </w:t>
            </w:r>
          </w:p>
        </w:tc>
        <w:tc>
          <w:tcPr>
            <w:tcW w:w="799" w:type="dxa"/>
          </w:tcPr>
          <w:p w14:paraId="5A4C5C0F" w14:textId="77777777" w:rsidR="004B47D0" w:rsidRPr="003F3990" w:rsidRDefault="004B47D0" w:rsidP="004B47D0"/>
        </w:tc>
      </w:tr>
      <w:tr w:rsidR="004B47D0" w14:paraId="67431766" w14:textId="77777777" w:rsidTr="00FC3DAD">
        <w:tc>
          <w:tcPr>
            <w:tcW w:w="3005" w:type="dxa"/>
            <w:vAlign w:val="center"/>
          </w:tcPr>
          <w:p w14:paraId="1F234C10" w14:textId="3ABF15B8" w:rsidR="004B47D0" w:rsidRPr="004B47D0" w:rsidRDefault="004B47D0" w:rsidP="004B47D0">
            <w:r>
              <w:t>Especificación de seguridad mínima</w:t>
            </w:r>
          </w:p>
        </w:tc>
        <w:tc>
          <w:tcPr>
            <w:tcW w:w="5212" w:type="dxa"/>
          </w:tcPr>
          <w:p w14:paraId="2829BDE8" w14:textId="2884E984" w:rsidR="004B47D0" w:rsidRPr="004B47D0" w:rsidRDefault="004B47D0" w:rsidP="004B47D0">
            <w:r>
              <w:t xml:space="preserve">Todos los vehículos están equipados con cinturones de seguridad para todos los asientos, 2 espejos retrovisores, 2 airbags y Control Electrónico de Estabilidad como mínimo.  Si su especificación de </w:t>
            </w:r>
            <w:r>
              <w:lastRenderedPageBreak/>
              <w:t>seguridad mínima es más avanzada, entonces debería usarse como estos criterios.</w:t>
            </w:r>
          </w:p>
        </w:tc>
        <w:tc>
          <w:tcPr>
            <w:tcW w:w="799" w:type="dxa"/>
          </w:tcPr>
          <w:p w14:paraId="64673AAE" w14:textId="77777777" w:rsidR="004B47D0" w:rsidRPr="00FC3DAD" w:rsidRDefault="004B47D0" w:rsidP="004B47D0">
            <w:pPr>
              <w:rPr>
                <w:b/>
                <w:bCs/>
              </w:rPr>
            </w:pPr>
          </w:p>
        </w:tc>
      </w:tr>
      <w:tr w:rsidR="004B47D0" w:rsidRPr="003F3990" w14:paraId="2DF6C355" w14:textId="77777777" w:rsidTr="00CF68B8">
        <w:tc>
          <w:tcPr>
            <w:tcW w:w="9016" w:type="dxa"/>
            <w:gridSpan w:val="3"/>
            <w:vAlign w:val="center"/>
          </w:tcPr>
          <w:p w14:paraId="4B87A5F7" w14:textId="1D768476" w:rsidR="004B47D0" w:rsidRPr="003F3990" w:rsidRDefault="004B47D0" w:rsidP="004B47D0">
            <w:pPr>
              <w:rPr>
                <w:b/>
                <w:bCs/>
                <w:color w:val="1E69AA"/>
              </w:rPr>
            </w:pPr>
            <w:r>
              <w:rPr>
                <w:b/>
                <w:bCs/>
                <w:color w:val="1E69AA"/>
              </w:rPr>
              <w:lastRenderedPageBreak/>
              <w:t>Mantenimiento del Vehículo</w:t>
            </w:r>
          </w:p>
        </w:tc>
      </w:tr>
      <w:tr w:rsidR="004B47D0" w14:paraId="148B9ED5" w14:textId="77777777" w:rsidTr="00FC3DAD">
        <w:tc>
          <w:tcPr>
            <w:tcW w:w="3005" w:type="dxa"/>
            <w:vAlign w:val="center"/>
          </w:tcPr>
          <w:p w14:paraId="18B608B1" w14:textId="63E40D4B" w:rsidR="004B47D0" w:rsidRPr="004B47D0" w:rsidRDefault="004B47D0" w:rsidP="004B47D0">
            <w:r>
              <w:t>Mantenimiento de rutina</w:t>
            </w:r>
          </w:p>
        </w:tc>
        <w:tc>
          <w:tcPr>
            <w:tcW w:w="5212" w:type="dxa"/>
          </w:tcPr>
          <w:p w14:paraId="1A782CF2" w14:textId="48C2C981" w:rsidR="004B47D0" w:rsidRPr="004B47D0" w:rsidRDefault="004B47D0" w:rsidP="004B47D0">
            <w:r>
              <w:t>Todos los conductores revisan sus vehículos al menos una vez por semana, con evidencia como soporte. Para furgonetas y camiones, estos controles se llevan a cabo diariamente. Existe una auditoría de seguimiento para apoyar est</w:t>
            </w:r>
            <w:r w:rsidR="007E165A">
              <w:t>a medida</w:t>
            </w:r>
            <w:r>
              <w:t>.</w:t>
            </w:r>
          </w:p>
        </w:tc>
        <w:tc>
          <w:tcPr>
            <w:tcW w:w="799" w:type="dxa"/>
          </w:tcPr>
          <w:p w14:paraId="0F60EDB3" w14:textId="77777777" w:rsidR="004B47D0" w:rsidRPr="00FC3DAD" w:rsidRDefault="004B47D0" w:rsidP="004B47D0">
            <w:pPr>
              <w:rPr>
                <w:b/>
                <w:bCs/>
              </w:rPr>
            </w:pPr>
          </w:p>
        </w:tc>
      </w:tr>
      <w:tr w:rsidR="004B47D0" w14:paraId="772ABD28" w14:textId="77777777" w:rsidTr="00FC3DAD">
        <w:tc>
          <w:tcPr>
            <w:tcW w:w="3005" w:type="dxa"/>
            <w:vAlign w:val="center"/>
          </w:tcPr>
          <w:p w14:paraId="7B76305E" w14:textId="67787821" w:rsidR="004B47D0" w:rsidRPr="004B47D0" w:rsidRDefault="004B47D0" w:rsidP="004B47D0">
            <w:r>
              <w:t>Reparación</w:t>
            </w:r>
          </w:p>
        </w:tc>
        <w:tc>
          <w:tcPr>
            <w:tcW w:w="5212" w:type="dxa"/>
          </w:tcPr>
          <w:p w14:paraId="002A8528" w14:textId="3FBD935B" w:rsidR="004B47D0" w:rsidRPr="004B47D0" w:rsidRDefault="004B47D0" w:rsidP="004B47D0">
            <w:r>
              <w:t>Todos los vehículos, incluidos los vehículos de la Flota Gris, son verificados según los programas del fabricante y/o intervalos variables, por talleres OEM. Existe una auditoría de seguimiento para apoyar est</w:t>
            </w:r>
            <w:r w:rsidR="007E165A">
              <w:t>a medida</w:t>
            </w:r>
            <w:r>
              <w:t>.</w:t>
            </w:r>
          </w:p>
        </w:tc>
        <w:tc>
          <w:tcPr>
            <w:tcW w:w="799" w:type="dxa"/>
          </w:tcPr>
          <w:p w14:paraId="7A42FE82" w14:textId="77777777" w:rsidR="004B47D0" w:rsidRPr="00FC3DAD" w:rsidRDefault="004B47D0" w:rsidP="004B47D0">
            <w:pPr>
              <w:rPr>
                <w:b/>
                <w:bCs/>
              </w:rPr>
            </w:pPr>
          </w:p>
        </w:tc>
      </w:tr>
      <w:tr w:rsidR="004B47D0" w:rsidRPr="003F3990" w14:paraId="089BDD61" w14:textId="77777777" w:rsidTr="00701AE5">
        <w:tc>
          <w:tcPr>
            <w:tcW w:w="9016" w:type="dxa"/>
            <w:gridSpan w:val="3"/>
            <w:vAlign w:val="center"/>
          </w:tcPr>
          <w:p w14:paraId="1E038897" w14:textId="0458A391" w:rsidR="004B47D0" w:rsidRPr="003F3990" w:rsidRDefault="004B47D0" w:rsidP="004B47D0">
            <w:pPr>
              <w:rPr>
                <w:b/>
                <w:bCs/>
                <w:color w:val="1E69AA"/>
              </w:rPr>
            </w:pPr>
            <w:r>
              <w:rPr>
                <w:b/>
                <w:bCs/>
                <w:color w:val="1E69AA"/>
              </w:rPr>
              <w:t>Reemplazo del Vehículo</w:t>
            </w:r>
          </w:p>
        </w:tc>
      </w:tr>
      <w:tr w:rsidR="004B47D0" w14:paraId="099C9093" w14:textId="77777777" w:rsidTr="00FC3DAD">
        <w:tc>
          <w:tcPr>
            <w:tcW w:w="3005" w:type="dxa"/>
            <w:vAlign w:val="center"/>
          </w:tcPr>
          <w:p w14:paraId="007AAB19" w14:textId="419A2F4D" w:rsidR="004B47D0" w:rsidRPr="004B47D0" w:rsidRDefault="004B47D0" w:rsidP="004B47D0">
            <w:r>
              <w:t>Proceso de reemplazo del vehículo</w:t>
            </w:r>
          </w:p>
        </w:tc>
        <w:tc>
          <w:tcPr>
            <w:tcW w:w="5212" w:type="dxa"/>
          </w:tcPr>
          <w:p w14:paraId="7D029F57" w14:textId="7E603D7B" w:rsidR="004B47D0" w:rsidRPr="004B47D0" w:rsidRDefault="004B47D0" w:rsidP="004B47D0">
            <w:r>
              <w:t>Todos los vehículos, incluidos los vehículos de la Flota Gris, se reemplazan después de 3 años / 90,000 millas (para camiones y autobuses, 6 años / 150,000 millas).</w:t>
            </w:r>
          </w:p>
        </w:tc>
        <w:tc>
          <w:tcPr>
            <w:tcW w:w="799" w:type="dxa"/>
          </w:tcPr>
          <w:p w14:paraId="68A7D4D3" w14:textId="77777777" w:rsidR="004B47D0" w:rsidRPr="00FC3DAD" w:rsidRDefault="004B47D0" w:rsidP="004B47D0">
            <w:pPr>
              <w:rPr>
                <w:b/>
                <w:bCs/>
              </w:rPr>
            </w:pPr>
          </w:p>
        </w:tc>
      </w:tr>
    </w:tbl>
    <w:p w14:paraId="76790D87" w14:textId="6E3AFA14" w:rsidR="00010FF2" w:rsidRDefault="00010FF2"/>
    <w:p w14:paraId="6798CF98" w14:textId="77777777" w:rsidR="00010FF2" w:rsidRDefault="00010FF2">
      <w:r>
        <w:br w:type="page"/>
      </w:r>
    </w:p>
    <w:p w14:paraId="461B29BC" w14:textId="77777777" w:rsidR="00F360A4" w:rsidRDefault="00F360A4" w:rsidP="00F360A4">
      <w:pPr>
        <w:jc w:val="center"/>
      </w:pPr>
    </w:p>
    <w:p w14:paraId="41163CA2" w14:textId="77777777" w:rsidR="00F360A4" w:rsidRDefault="00F360A4" w:rsidP="00F360A4">
      <w:pPr>
        <w:jc w:val="center"/>
      </w:pPr>
    </w:p>
    <w:p w14:paraId="458398AF" w14:textId="77777777" w:rsidR="00F360A4" w:rsidRDefault="00F360A4" w:rsidP="00F360A4">
      <w:pPr>
        <w:jc w:val="center"/>
      </w:pPr>
    </w:p>
    <w:p w14:paraId="6A853DD7" w14:textId="77777777" w:rsidR="00F360A4" w:rsidRDefault="00F360A4" w:rsidP="00F360A4">
      <w:pPr>
        <w:jc w:val="center"/>
      </w:pPr>
    </w:p>
    <w:p w14:paraId="30403621" w14:textId="77777777" w:rsidR="00F360A4" w:rsidRDefault="00F360A4" w:rsidP="00F360A4">
      <w:pPr>
        <w:jc w:val="center"/>
      </w:pPr>
    </w:p>
    <w:p w14:paraId="2619BDB4" w14:textId="77777777" w:rsidR="00F360A4" w:rsidRDefault="00F360A4" w:rsidP="00F360A4">
      <w:pPr>
        <w:jc w:val="center"/>
      </w:pPr>
    </w:p>
    <w:p w14:paraId="4B3F876A" w14:textId="77777777" w:rsidR="00F360A4" w:rsidRDefault="00F360A4" w:rsidP="00F360A4">
      <w:pPr>
        <w:jc w:val="center"/>
      </w:pPr>
    </w:p>
    <w:p w14:paraId="6BB3E1E0" w14:textId="77777777" w:rsidR="00F360A4" w:rsidRDefault="00F360A4" w:rsidP="00F360A4">
      <w:pPr>
        <w:jc w:val="center"/>
      </w:pPr>
    </w:p>
    <w:p w14:paraId="673B6FC0" w14:textId="6EED3553" w:rsidR="00EC5615" w:rsidRDefault="00F360A4" w:rsidP="00F360A4">
      <w:pPr>
        <w:jc w:val="center"/>
      </w:pPr>
      <w:r>
        <w:rPr>
          <w:noProof/>
          <w:lang w:val="en-GB" w:eastAsia="en-GB"/>
        </w:rPr>
        <w:drawing>
          <wp:inline distT="0" distB="0" distL="0" distR="0" wp14:anchorId="409F417C" wp14:editId="30FCBA8B">
            <wp:extent cx="5334000" cy="15906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6977"/>
                    <a:stretch/>
                  </pic:blipFill>
                  <pic:spPr bwMode="auto">
                    <a:xfrm>
                      <a:off x="0" y="0"/>
                      <a:ext cx="5334000" cy="1590675"/>
                    </a:xfrm>
                    <a:prstGeom prst="rect">
                      <a:avLst/>
                    </a:prstGeom>
                    <a:noFill/>
                    <a:ln>
                      <a:noFill/>
                    </a:ln>
                    <a:extLst>
                      <a:ext uri="{53640926-AAD7-44D8-BBD7-CCE9431645EC}">
                        <a14:shadowObscured xmlns:a14="http://schemas.microsoft.com/office/drawing/2010/main"/>
                      </a:ext>
                    </a:extLst>
                  </pic:spPr>
                </pic:pic>
              </a:graphicData>
            </a:graphic>
          </wp:inline>
        </w:drawing>
      </w:r>
    </w:p>
    <w:p w14:paraId="1D23A12C" w14:textId="7AEADDBD" w:rsidR="00F360A4" w:rsidRDefault="00F360A4" w:rsidP="00F360A4">
      <w:pPr>
        <w:jc w:val="center"/>
      </w:pPr>
    </w:p>
    <w:p w14:paraId="1F4983D0" w14:textId="6A7F17FC" w:rsidR="00F360A4" w:rsidRPr="00F360A4" w:rsidRDefault="00F360A4" w:rsidP="00F360A4">
      <w:pPr>
        <w:jc w:val="center"/>
        <w:rPr>
          <w:sz w:val="28"/>
          <w:szCs w:val="28"/>
        </w:rPr>
      </w:pPr>
      <w:r>
        <w:rPr>
          <w:color w:val="1E69AA"/>
          <w:sz w:val="40"/>
          <w:szCs w:val="40"/>
        </w:rPr>
        <w:t>roadrisktoolkit.com</w:t>
      </w:r>
    </w:p>
    <w:sectPr w:rsidR="00F360A4" w:rsidRPr="00F360A4" w:rsidSect="003F3990">
      <w:headerReference w:type="first" r:id="rId10"/>
      <w:footerReference w:type="first" r:id="rId11"/>
      <w:pgSz w:w="11906" w:h="16838"/>
      <w:pgMar w:top="1440" w:right="1440" w:bottom="1440" w:left="1440" w:header="284" w:footer="10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68CB9" w14:textId="77777777" w:rsidR="00231D33" w:rsidRDefault="00231D33" w:rsidP="003F3990">
      <w:pPr>
        <w:spacing w:after="0" w:line="240" w:lineRule="auto"/>
      </w:pPr>
      <w:r>
        <w:separator/>
      </w:r>
    </w:p>
  </w:endnote>
  <w:endnote w:type="continuationSeparator" w:id="0">
    <w:p w14:paraId="09F4CAA4" w14:textId="77777777" w:rsidR="00231D33" w:rsidRDefault="00231D33" w:rsidP="003F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9AE68" w14:textId="5726B2B3" w:rsidR="003F3990" w:rsidRDefault="00010FF2" w:rsidP="003F3990">
    <w:pPr>
      <w:pStyle w:val="Footer"/>
      <w:tabs>
        <w:tab w:val="clear" w:pos="4513"/>
      </w:tabs>
      <w:spacing w:before="120"/>
      <w:jc w:val="center"/>
    </w:pPr>
    <w:r>
      <w:rPr>
        <w:noProof/>
        <w:color w:val="1E69AA"/>
        <w:sz w:val="32"/>
        <w:szCs w:val="32"/>
        <w:lang w:val="en-GB" w:eastAsia="en-GB"/>
      </w:rPr>
      <w:drawing>
        <wp:anchor distT="0" distB="0" distL="114300" distR="114300" simplePos="0" relativeHeight="251661312" behindDoc="0" locked="0" layoutInCell="1" allowOverlap="1" wp14:anchorId="33030C6F" wp14:editId="08B1A4A7">
          <wp:simplePos x="0" y="0"/>
          <wp:positionH relativeFrom="column">
            <wp:posOffset>3552825</wp:posOffset>
          </wp:positionH>
          <wp:positionV relativeFrom="paragraph">
            <wp:posOffset>476250</wp:posOffset>
          </wp:positionV>
          <wp:extent cx="930275" cy="47625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76250"/>
                  </a:xfrm>
                  <a:prstGeom prst="rect">
                    <a:avLst/>
                  </a:prstGeom>
                  <a:noFill/>
                  <a:ln>
                    <a:noFill/>
                  </a:ln>
                </pic:spPr>
              </pic:pic>
            </a:graphicData>
          </a:graphic>
        </wp:anchor>
      </w:drawing>
    </w:r>
    <w:r>
      <w:rPr>
        <w:noProof/>
        <w:color w:val="1E69AA"/>
        <w:sz w:val="32"/>
        <w:szCs w:val="32"/>
        <w:lang w:val="en-GB" w:eastAsia="en-GB"/>
      </w:rPr>
      <w:drawing>
        <wp:anchor distT="0" distB="0" distL="114300" distR="114300" simplePos="0" relativeHeight="251660288" behindDoc="0" locked="0" layoutInCell="1" allowOverlap="1" wp14:anchorId="3B436B37" wp14:editId="618C25FB">
          <wp:simplePos x="0" y="0"/>
          <wp:positionH relativeFrom="column">
            <wp:posOffset>742950</wp:posOffset>
          </wp:positionH>
          <wp:positionV relativeFrom="paragraph">
            <wp:posOffset>400050</wp:posOffset>
          </wp:positionV>
          <wp:extent cx="2193290" cy="5524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329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1E69AA"/>
        <w:sz w:val="32"/>
        <w:szCs w:val="32"/>
        <w:lang w:val="en-GB" w:eastAsia="en-GB"/>
      </w:rPr>
      <mc:AlternateContent>
        <mc:Choice Requires="wps">
          <w:drawing>
            <wp:anchor distT="0" distB="0" distL="114300" distR="114300" simplePos="0" relativeHeight="251662336" behindDoc="0" locked="0" layoutInCell="1" allowOverlap="1" wp14:anchorId="2E9BFBB7" wp14:editId="56863BB8">
              <wp:simplePos x="0" y="0"/>
              <wp:positionH relativeFrom="column">
                <wp:posOffset>599440</wp:posOffset>
              </wp:positionH>
              <wp:positionV relativeFrom="paragraph">
                <wp:posOffset>368935</wp:posOffset>
              </wp:positionV>
              <wp:extent cx="43529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4352925" cy="0"/>
                      </a:xfrm>
                      <a:prstGeom prst="line">
                        <a:avLst/>
                      </a:prstGeom>
                      <a:ln>
                        <a:solidFill>
                          <a:srgbClr val="1B8C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CF406DF" id="Straight Connector 4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2pt,29.05pt" to="389.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" strokecolor="#1b8c89" strokeweight=".5pt">
              <v:stroke joinstyle="miter"/>
            </v:line>
          </w:pict>
        </mc:Fallback>
      </mc:AlternateContent>
    </w:r>
    <w:r>
      <w:rPr>
        <w:color w:val="1E69AA"/>
        <w:sz w:val="32"/>
        <w:szCs w:val="32"/>
      </w:rPr>
      <w:t>roadrisktoolkit.com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1C041" w14:textId="77777777" w:rsidR="00231D33" w:rsidRDefault="00231D33" w:rsidP="003F3990">
      <w:pPr>
        <w:spacing w:after="0" w:line="240" w:lineRule="auto"/>
      </w:pPr>
      <w:r>
        <w:separator/>
      </w:r>
    </w:p>
  </w:footnote>
  <w:footnote w:type="continuationSeparator" w:id="0">
    <w:p w14:paraId="3DDF36B5" w14:textId="77777777" w:rsidR="00231D33" w:rsidRDefault="00231D33" w:rsidP="003F3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7431A" w14:textId="4030CC57" w:rsidR="003F3990" w:rsidRDefault="003F3990" w:rsidP="003F3990">
    <w:pPr>
      <w:pStyle w:val="Header"/>
      <w:tabs>
        <w:tab w:val="clear" w:pos="9026"/>
        <w:tab w:val="right" w:pos="8647"/>
      </w:tabs>
      <w:ind w:right="-897"/>
      <w:jc w:val="right"/>
    </w:pPr>
    <w:r>
      <w:rPr>
        <w:noProof/>
        <w:lang w:val="en-GB" w:eastAsia="en-GB"/>
      </w:rPr>
      <w:drawing>
        <wp:inline distT="0" distB="0" distL="0" distR="0" wp14:anchorId="52995C03" wp14:editId="3EDEBEF1">
          <wp:extent cx="4457700" cy="1363436"/>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302"/>
                  <a:stretch/>
                </pic:blipFill>
                <pic:spPr bwMode="auto">
                  <a:xfrm>
                    <a:off x="0" y="0"/>
                    <a:ext cx="4472705" cy="13680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D4988"/>
    <w:multiLevelType w:val="hybridMultilevel"/>
    <w:tmpl w:val="6ABA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272D1D"/>
    <w:multiLevelType w:val="hybridMultilevel"/>
    <w:tmpl w:val="E75AE38A"/>
    <w:lvl w:ilvl="0" w:tplc="B2364050">
      <w:start w:val="1"/>
      <w:numFmt w:val="bullet"/>
      <w:lvlText w:val="•"/>
      <w:lvlJc w:val="left"/>
      <w:pPr>
        <w:tabs>
          <w:tab w:val="num" w:pos="720"/>
        </w:tabs>
        <w:ind w:left="720" w:hanging="360"/>
      </w:pPr>
      <w:rPr>
        <w:rFonts w:ascii="Arial" w:hAnsi="Arial" w:hint="default"/>
      </w:rPr>
    </w:lvl>
    <w:lvl w:ilvl="1" w:tplc="D1125FDE" w:tentative="1">
      <w:start w:val="1"/>
      <w:numFmt w:val="bullet"/>
      <w:lvlText w:val="•"/>
      <w:lvlJc w:val="left"/>
      <w:pPr>
        <w:tabs>
          <w:tab w:val="num" w:pos="1440"/>
        </w:tabs>
        <w:ind w:left="1440" w:hanging="360"/>
      </w:pPr>
      <w:rPr>
        <w:rFonts w:ascii="Arial" w:hAnsi="Arial" w:hint="default"/>
      </w:rPr>
    </w:lvl>
    <w:lvl w:ilvl="2" w:tplc="43EAEAC4" w:tentative="1">
      <w:start w:val="1"/>
      <w:numFmt w:val="bullet"/>
      <w:lvlText w:val="•"/>
      <w:lvlJc w:val="left"/>
      <w:pPr>
        <w:tabs>
          <w:tab w:val="num" w:pos="2160"/>
        </w:tabs>
        <w:ind w:left="2160" w:hanging="360"/>
      </w:pPr>
      <w:rPr>
        <w:rFonts w:ascii="Arial" w:hAnsi="Arial" w:hint="default"/>
      </w:rPr>
    </w:lvl>
    <w:lvl w:ilvl="3" w:tplc="FED26CB0" w:tentative="1">
      <w:start w:val="1"/>
      <w:numFmt w:val="bullet"/>
      <w:lvlText w:val="•"/>
      <w:lvlJc w:val="left"/>
      <w:pPr>
        <w:tabs>
          <w:tab w:val="num" w:pos="2880"/>
        </w:tabs>
        <w:ind w:left="2880" w:hanging="360"/>
      </w:pPr>
      <w:rPr>
        <w:rFonts w:ascii="Arial" w:hAnsi="Arial" w:hint="default"/>
      </w:rPr>
    </w:lvl>
    <w:lvl w:ilvl="4" w:tplc="12C45B3C" w:tentative="1">
      <w:start w:val="1"/>
      <w:numFmt w:val="bullet"/>
      <w:lvlText w:val="•"/>
      <w:lvlJc w:val="left"/>
      <w:pPr>
        <w:tabs>
          <w:tab w:val="num" w:pos="3600"/>
        </w:tabs>
        <w:ind w:left="3600" w:hanging="360"/>
      </w:pPr>
      <w:rPr>
        <w:rFonts w:ascii="Arial" w:hAnsi="Arial" w:hint="default"/>
      </w:rPr>
    </w:lvl>
    <w:lvl w:ilvl="5" w:tplc="6116E182" w:tentative="1">
      <w:start w:val="1"/>
      <w:numFmt w:val="bullet"/>
      <w:lvlText w:val="•"/>
      <w:lvlJc w:val="left"/>
      <w:pPr>
        <w:tabs>
          <w:tab w:val="num" w:pos="4320"/>
        </w:tabs>
        <w:ind w:left="4320" w:hanging="360"/>
      </w:pPr>
      <w:rPr>
        <w:rFonts w:ascii="Arial" w:hAnsi="Arial" w:hint="default"/>
      </w:rPr>
    </w:lvl>
    <w:lvl w:ilvl="6" w:tplc="D554AD12" w:tentative="1">
      <w:start w:val="1"/>
      <w:numFmt w:val="bullet"/>
      <w:lvlText w:val="•"/>
      <w:lvlJc w:val="left"/>
      <w:pPr>
        <w:tabs>
          <w:tab w:val="num" w:pos="5040"/>
        </w:tabs>
        <w:ind w:left="5040" w:hanging="360"/>
      </w:pPr>
      <w:rPr>
        <w:rFonts w:ascii="Arial" w:hAnsi="Arial" w:hint="default"/>
      </w:rPr>
    </w:lvl>
    <w:lvl w:ilvl="7" w:tplc="F9281AE4" w:tentative="1">
      <w:start w:val="1"/>
      <w:numFmt w:val="bullet"/>
      <w:lvlText w:val="•"/>
      <w:lvlJc w:val="left"/>
      <w:pPr>
        <w:tabs>
          <w:tab w:val="num" w:pos="5760"/>
        </w:tabs>
        <w:ind w:left="5760" w:hanging="360"/>
      </w:pPr>
      <w:rPr>
        <w:rFonts w:ascii="Arial" w:hAnsi="Arial" w:hint="default"/>
      </w:rPr>
    </w:lvl>
    <w:lvl w:ilvl="8" w:tplc="0DCC97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A86795"/>
    <w:multiLevelType w:val="hybridMultilevel"/>
    <w:tmpl w:val="F2B8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012328"/>
    <w:multiLevelType w:val="hybridMultilevel"/>
    <w:tmpl w:val="D542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15"/>
    <w:rsid w:val="00000DE1"/>
    <w:rsid w:val="00010FF2"/>
    <w:rsid w:val="000250D6"/>
    <w:rsid w:val="000349F3"/>
    <w:rsid w:val="001372BD"/>
    <w:rsid w:val="00156AED"/>
    <w:rsid w:val="0015760F"/>
    <w:rsid w:val="001F0832"/>
    <w:rsid w:val="001F1A7D"/>
    <w:rsid w:val="00231D33"/>
    <w:rsid w:val="00241FD3"/>
    <w:rsid w:val="002D06D4"/>
    <w:rsid w:val="003202DF"/>
    <w:rsid w:val="00342E24"/>
    <w:rsid w:val="003D65A8"/>
    <w:rsid w:val="003F3990"/>
    <w:rsid w:val="00421AC5"/>
    <w:rsid w:val="004631F0"/>
    <w:rsid w:val="004B47D0"/>
    <w:rsid w:val="005C6076"/>
    <w:rsid w:val="005D0F6D"/>
    <w:rsid w:val="006428DE"/>
    <w:rsid w:val="006844B2"/>
    <w:rsid w:val="00692657"/>
    <w:rsid w:val="006C0EDA"/>
    <w:rsid w:val="006E588A"/>
    <w:rsid w:val="006E6A2C"/>
    <w:rsid w:val="00764957"/>
    <w:rsid w:val="007819A6"/>
    <w:rsid w:val="007952E5"/>
    <w:rsid w:val="007E165A"/>
    <w:rsid w:val="007F6563"/>
    <w:rsid w:val="00820E57"/>
    <w:rsid w:val="008908E1"/>
    <w:rsid w:val="008B4F51"/>
    <w:rsid w:val="008E3C35"/>
    <w:rsid w:val="00945169"/>
    <w:rsid w:val="00952C71"/>
    <w:rsid w:val="00963ACD"/>
    <w:rsid w:val="00973E14"/>
    <w:rsid w:val="00AE450A"/>
    <w:rsid w:val="00B306DC"/>
    <w:rsid w:val="00B654B2"/>
    <w:rsid w:val="00B72C78"/>
    <w:rsid w:val="00B90F4A"/>
    <w:rsid w:val="00C72E78"/>
    <w:rsid w:val="00C74BBF"/>
    <w:rsid w:val="00C834DB"/>
    <w:rsid w:val="00CA0DBE"/>
    <w:rsid w:val="00CA12CD"/>
    <w:rsid w:val="00CE62E7"/>
    <w:rsid w:val="00D02C94"/>
    <w:rsid w:val="00D46E3B"/>
    <w:rsid w:val="00D577FA"/>
    <w:rsid w:val="00DC7C5D"/>
    <w:rsid w:val="00DE6B0E"/>
    <w:rsid w:val="00E27B34"/>
    <w:rsid w:val="00E64A52"/>
    <w:rsid w:val="00EB0B68"/>
    <w:rsid w:val="00EC5615"/>
    <w:rsid w:val="00EE41D0"/>
    <w:rsid w:val="00F30D28"/>
    <w:rsid w:val="00F360A4"/>
    <w:rsid w:val="00F41889"/>
    <w:rsid w:val="00F977A4"/>
    <w:rsid w:val="00FC025D"/>
    <w:rsid w:val="00FC3D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3014DC"/>
  <w15:chartTrackingRefBased/>
  <w15:docId w15:val="{9A72D913-E14D-4033-9FA9-462E128B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15"/>
    <w:pPr>
      <w:ind w:left="720"/>
      <w:contextualSpacing/>
    </w:pPr>
  </w:style>
  <w:style w:type="character" w:styleId="Hyperlink">
    <w:name w:val="Hyperlink"/>
    <w:basedOn w:val="DefaultParagraphFont"/>
    <w:uiPriority w:val="99"/>
    <w:unhideWhenUsed/>
    <w:rsid w:val="00E27B34"/>
    <w:rPr>
      <w:color w:val="0563C1" w:themeColor="hyperlink"/>
      <w:u w:val="single"/>
    </w:rPr>
  </w:style>
  <w:style w:type="character" w:customStyle="1" w:styleId="UnresolvedMention">
    <w:name w:val="Unresolved Mention"/>
    <w:basedOn w:val="DefaultParagraphFont"/>
    <w:uiPriority w:val="99"/>
    <w:semiHidden/>
    <w:unhideWhenUsed/>
    <w:rsid w:val="00E27B34"/>
    <w:rPr>
      <w:color w:val="605E5C"/>
      <w:shd w:val="clear" w:color="auto" w:fill="E1DFDD"/>
    </w:rPr>
  </w:style>
  <w:style w:type="paragraph" w:styleId="Header">
    <w:name w:val="header"/>
    <w:basedOn w:val="Normal"/>
    <w:link w:val="HeaderChar"/>
    <w:uiPriority w:val="99"/>
    <w:unhideWhenUsed/>
    <w:rsid w:val="003F3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990"/>
  </w:style>
  <w:style w:type="paragraph" w:styleId="Footer">
    <w:name w:val="footer"/>
    <w:basedOn w:val="Normal"/>
    <w:link w:val="FooterChar"/>
    <w:uiPriority w:val="99"/>
    <w:unhideWhenUsed/>
    <w:rsid w:val="003F3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5843">
      <w:bodyDiv w:val="1"/>
      <w:marLeft w:val="0"/>
      <w:marRight w:val="0"/>
      <w:marTop w:val="0"/>
      <w:marBottom w:val="0"/>
      <w:divBdr>
        <w:top w:val="none" w:sz="0" w:space="0" w:color="auto"/>
        <w:left w:val="none" w:sz="0" w:space="0" w:color="auto"/>
        <w:bottom w:val="none" w:sz="0" w:space="0" w:color="auto"/>
        <w:right w:val="none" w:sz="0" w:space="0" w:color="auto"/>
      </w:divBdr>
    </w:div>
    <w:div w:id="731851923">
      <w:bodyDiv w:val="1"/>
      <w:marLeft w:val="0"/>
      <w:marRight w:val="0"/>
      <w:marTop w:val="0"/>
      <w:marBottom w:val="0"/>
      <w:divBdr>
        <w:top w:val="none" w:sz="0" w:space="0" w:color="auto"/>
        <w:left w:val="none" w:sz="0" w:space="0" w:color="auto"/>
        <w:bottom w:val="none" w:sz="0" w:space="0" w:color="auto"/>
        <w:right w:val="none" w:sz="0" w:space="0" w:color="auto"/>
      </w:divBdr>
      <w:divsChild>
        <w:div w:id="1516453788">
          <w:marLeft w:val="360"/>
          <w:marRight w:val="0"/>
          <w:marTop w:val="200"/>
          <w:marBottom w:val="0"/>
          <w:divBdr>
            <w:top w:val="none" w:sz="0" w:space="0" w:color="auto"/>
            <w:left w:val="none" w:sz="0" w:space="0" w:color="auto"/>
            <w:bottom w:val="none" w:sz="0" w:space="0" w:color="auto"/>
            <w:right w:val="none" w:sz="0" w:space="0" w:color="auto"/>
          </w:divBdr>
        </w:div>
        <w:div w:id="1191381871">
          <w:marLeft w:val="360"/>
          <w:marRight w:val="0"/>
          <w:marTop w:val="200"/>
          <w:marBottom w:val="0"/>
          <w:divBdr>
            <w:top w:val="none" w:sz="0" w:space="0" w:color="auto"/>
            <w:left w:val="none" w:sz="0" w:space="0" w:color="auto"/>
            <w:bottom w:val="none" w:sz="0" w:space="0" w:color="auto"/>
            <w:right w:val="none" w:sz="0" w:space="0" w:color="auto"/>
          </w:divBdr>
        </w:div>
      </w:divsChild>
    </w:div>
    <w:div w:id="924807374">
      <w:bodyDiv w:val="1"/>
      <w:marLeft w:val="0"/>
      <w:marRight w:val="0"/>
      <w:marTop w:val="0"/>
      <w:marBottom w:val="0"/>
      <w:divBdr>
        <w:top w:val="none" w:sz="0" w:space="0" w:color="auto"/>
        <w:left w:val="none" w:sz="0" w:space="0" w:color="auto"/>
        <w:bottom w:val="none" w:sz="0" w:space="0" w:color="auto"/>
        <w:right w:val="none" w:sz="0" w:space="0" w:color="auto"/>
      </w:divBdr>
    </w:div>
    <w:div w:id="1557352244">
      <w:bodyDiv w:val="1"/>
      <w:marLeft w:val="0"/>
      <w:marRight w:val="0"/>
      <w:marTop w:val="0"/>
      <w:marBottom w:val="0"/>
      <w:divBdr>
        <w:top w:val="none" w:sz="0" w:space="0" w:color="auto"/>
        <w:left w:val="none" w:sz="0" w:space="0" w:color="auto"/>
        <w:bottom w:val="none" w:sz="0" w:space="0" w:color="auto"/>
        <w:right w:val="none" w:sz="0" w:space="0" w:color="auto"/>
      </w:divBdr>
    </w:div>
    <w:div w:id="1596131425">
      <w:bodyDiv w:val="1"/>
      <w:marLeft w:val="0"/>
      <w:marRight w:val="0"/>
      <w:marTop w:val="0"/>
      <w:marBottom w:val="0"/>
      <w:divBdr>
        <w:top w:val="none" w:sz="0" w:space="0" w:color="auto"/>
        <w:left w:val="none" w:sz="0" w:space="0" w:color="auto"/>
        <w:bottom w:val="none" w:sz="0" w:space="0" w:color="auto"/>
        <w:right w:val="none" w:sz="0" w:space="0" w:color="auto"/>
      </w:divBdr>
    </w:div>
    <w:div w:id="1654942562">
      <w:bodyDiv w:val="1"/>
      <w:marLeft w:val="0"/>
      <w:marRight w:val="0"/>
      <w:marTop w:val="0"/>
      <w:marBottom w:val="0"/>
      <w:divBdr>
        <w:top w:val="none" w:sz="0" w:space="0" w:color="auto"/>
        <w:left w:val="none" w:sz="0" w:space="0" w:color="auto"/>
        <w:bottom w:val="none" w:sz="0" w:space="0" w:color="auto"/>
        <w:right w:val="none" w:sz="0" w:space="0" w:color="auto"/>
      </w:divBdr>
    </w:div>
    <w:div w:id="1701467580">
      <w:bodyDiv w:val="1"/>
      <w:marLeft w:val="0"/>
      <w:marRight w:val="0"/>
      <w:marTop w:val="0"/>
      <w:marBottom w:val="0"/>
      <w:divBdr>
        <w:top w:val="none" w:sz="0" w:space="0" w:color="auto"/>
        <w:left w:val="none" w:sz="0" w:space="0" w:color="auto"/>
        <w:bottom w:val="none" w:sz="0" w:space="0" w:color="auto"/>
        <w:right w:val="none" w:sz="0" w:space="0" w:color="auto"/>
      </w:divBdr>
    </w:div>
    <w:div w:id="19119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adrisktoolki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il@roadrisktoolki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3299</Words>
  <Characters>18810</Characters>
  <Application>Microsoft Office Word</Application>
  <DocSecurity>0</DocSecurity>
  <Lines>156</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Price</dc:creator>
  <cp:keywords/>
  <dc:description/>
  <cp:lastModifiedBy>Elena</cp:lastModifiedBy>
  <cp:revision>3</cp:revision>
  <dcterms:created xsi:type="dcterms:W3CDTF">2020-05-29T19:11:00Z</dcterms:created>
  <dcterms:modified xsi:type="dcterms:W3CDTF">2020-05-31T19:15:00Z</dcterms:modified>
</cp:coreProperties>
</file>