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BF76" w14:textId="77777777" w:rsidR="003F3990" w:rsidRDefault="003F3990">
      <w:bookmarkStart w:id="0" w:name="_Hlk35941988"/>
      <w:bookmarkStart w:id="1" w:name="_GoBack"/>
      <w:bookmarkEnd w:id="1"/>
    </w:p>
    <w:bookmarkEnd w:id="0"/>
    <w:p w14:paraId="1814E42E" w14:textId="58DF2B5F" w:rsidR="00EC1F20" w:rsidRPr="003A1B6E" w:rsidRDefault="00EC1F20" w:rsidP="00EC1F20">
      <w:pPr>
        <w:tabs>
          <w:tab w:val="num" w:pos="720"/>
        </w:tabs>
        <w:rPr>
          <w:sz w:val="23"/>
          <w:szCs w:val="23"/>
          <w:lang w:val="fr-FR"/>
        </w:rPr>
      </w:pPr>
      <w:r>
        <w:rPr>
          <w:sz w:val="23"/>
          <w:szCs w:val="23"/>
          <w:lang w:val="fr-FR"/>
        </w:rPr>
        <w:t xml:space="preserve">Les organisations qui souhaitent des interventions supplémentaires et plus avancées pour leurs conducteurs, en plus des modules </w:t>
      </w:r>
      <w:proofErr w:type="spellStart"/>
      <w:r>
        <w:rPr>
          <w:sz w:val="23"/>
          <w:szCs w:val="23"/>
          <w:lang w:val="fr-FR"/>
        </w:rPr>
        <w:t>eLearning</w:t>
      </w:r>
      <w:proofErr w:type="spellEnd"/>
      <w:r>
        <w:rPr>
          <w:sz w:val="23"/>
          <w:szCs w:val="23"/>
          <w:lang w:val="fr-FR"/>
        </w:rPr>
        <w:t xml:space="preserve"> gratuits disponibles sur</w:t>
      </w:r>
      <w:r w:rsidR="006E2287">
        <w:rPr>
          <w:sz w:val="23"/>
          <w:szCs w:val="23"/>
          <w:lang w:val="fr-FR"/>
        </w:rPr>
        <w:t xml:space="preserve"> </w:t>
      </w:r>
      <w:hyperlink r:id="rId7" w:history="1">
        <w:r>
          <w:rPr>
            <w:rStyle w:val="Hyperlink"/>
            <w:lang w:val="fr-FR"/>
          </w:rPr>
          <w:t>https://roadrisktoolkit.com/drivers-and-riders-info/</w:t>
        </w:r>
      </w:hyperlink>
      <w:r>
        <w:rPr>
          <w:sz w:val="23"/>
          <w:szCs w:val="23"/>
          <w:lang w:val="fr-FR"/>
        </w:rPr>
        <w:t xml:space="preserve"> devraient envisager une formation en classe et/ou une formation au volant, dispensée par des fournisseurs externes.</w:t>
      </w:r>
    </w:p>
    <w:p w14:paraId="748271CE" w14:textId="77777777" w:rsidR="00EC1F20" w:rsidRPr="003A1B6E" w:rsidRDefault="00EC1F20" w:rsidP="00EC1F20">
      <w:pPr>
        <w:tabs>
          <w:tab w:val="num" w:pos="720"/>
        </w:tabs>
        <w:rPr>
          <w:b/>
          <w:bCs/>
          <w:sz w:val="23"/>
          <w:szCs w:val="23"/>
          <w:lang w:val="fr-FR"/>
        </w:rPr>
      </w:pPr>
      <w:r>
        <w:rPr>
          <w:b/>
          <w:bCs/>
          <w:sz w:val="23"/>
          <w:szCs w:val="23"/>
          <w:lang w:val="fr-FR"/>
        </w:rPr>
        <w:t>Questions à prendre en considération :</w:t>
      </w:r>
    </w:p>
    <w:p w14:paraId="4B54D569" w14:textId="77777777" w:rsidR="00EC1F20" w:rsidRPr="003A1B6E" w:rsidRDefault="00EC1F20" w:rsidP="00EC1F20">
      <w:pPr>
        <w:tabs>
          <w:tab w:val="num" w:pos="720"/>
        </w:tabs>
        <w:rPr>
          <w:b/>
          <w:bCs/>
          <w:i/>
          <w:iCs/>
          <w:sz w:val="23"/>
          <w:szCs w:val="23"/>
          <w:lang w:val="fr-FR"/>
        </w:rPr>
      </w:pPr>
      <w:r>
        <w:rPr>
          <w:b/>
          <w:bCs/>
          <w:i/>
          <w:iCs/>
          <w:sz w:val="23"/>
          <w:szCs w:val="23"/>
          <w:lang w:val="fr-FR"/>
        </w:rPr>
        <w:t>Quel sera le meilleur pour ce que vous essayez d'atteindre ?</w:t>
      </w:r>
    </w:p>
    <w:p w14:paraId="108BF470"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La formation en classe peut être efficace pour accroître les connaissances et la sensibilisation aux problèmes, y compris les techniques de conduite, et peut affecter les attitudes et le comportement</w:t>
      </w:r>
    </w:p>
    <w:p w14:paraId="642D379D"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La formation en classe peut également être efficace pour renforcer les règles de l'entreprise et pour déployer de nouvelles règles</w:t>
      </w:r>
    </w:p>
    <w:p w14:paraId="35BB7474"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La formation en classe peut être dispensée à des groupes plus grands, bien que les groupes de petite à moyenne taille permettent plus d'interaction et de discussion, ce qui facilite l'apprentissage</w:t>
      </w:r>
    </w:p>
    <w:p w14:paraId="736F47A0"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La formation au volant peut être efficace pour augmenter et tester les compétences. Formateur: des rapports étudiants de 1:2 ou 1:3 peuvent aider l'apprentissage par les pairs</w:t>
      </w:r>
    </w:p>
    <w:p w14:paraId="0F1BBBE4" w14:textId="77777777" w:rsidR="00EC1F20" w:rsidRPr="003A1B6E" w:rsidRDefault="00EC1F20" w:rsidP="00EC1F20">
      <w:pPr>
        <w:tabs>
          <w:tab w:val="num" w:pos="720"/>
        </w:tabs>
        <w:rPr>
          <w:b/>
          <w:bCs/>
          <w:i/>
          <w:iCs/>
          <w:sz w:val="23"/>
          <w:szCs w:val="23"/>
          <w:lang w:val="fr-FR"/>
        </w:rPr>
      </w:pPr>
      <w:r>
        <w:rPr>
          <w:b/>
          <w:bCs/>
          <w:i/>
          <w:iCs/>
          <w:sz w:val="23"/>
          <w:szCs w:val="23"/>
          <w:lang w:val="fr-FR"/>
        </w:rPr>
        <w:t>Former tout le monde ou former uniquement les conducteurs les plus à risque ?</w:t>
      </w:r>
    </w:p>
    <w:p w14:paraId="3603C98F"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Former tout le monde peut coûter cher, mais envoie un message très fort sur le sérieux avec lequel la direction prend ce domaine de la sécurité. Cela garantit également que les connaissances, la sensibilisation et les compétences sont en place dans tous vos conducteurs, ce qui réduit les risques pour tout le monde</w:t>
      </w:r>
    </w:p>
    <w:p w14:paraId="4A584179"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La formation des conducteurs à haut risque peut d'abord apporter de bons avantages en matière de réduction des risques, puis d'autres conducteurs peuvent être formés par la suite. Cependant, la formation de conducteurs à haut risque à côté de ceux à faible risque peut démontrer aux conducteurs à haut risque que leurs attitudes et comportements ne sont pas partagés par leurs collègues</w:t>
      </w:r>
    </w:p>
    <w:p w14:paraId="170783FD" w14:textId="629A611B"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Si vous ne pouvez pas obtenir un financement suffisant pour former tous vos conducteurs, concentrer la formation sur les conducteurs les plus à risque offre le meilleur retour sur investissement</w:t>
      </w:r>
    </w:p>
    <w:p w14:paraId="165F3CEE" w14:textId="77777777" w:rsidR="00EC1F20" w:rsidRPr="003A1B6E" w:rsidRDefault="00EC1F20" w:rsidP="00EC1F20">
      <w:pPr>
        <w:tabs>
          <w:tab w:val="num" w:pos="720"/>
        </w:tabs>
        <w:rPr>
          <w:b/>
          <w:bCs/>
          <w:i/>
          <w:iCs/>
          <w:sz w:val="23"/>
          <w:szCs w:val="23"/>
          <w:lang w:val="fr-FR"/>
        </w:rPr>
      </w:pPr>
      <w:r>
        <w:rPr>
          <w:b/>
          <w:bCs/>
          <w:i/>
          <w:iCs/>
          <w:sz w:val="23"/>
          <w:szCs w:val="23"/>
          <w:lang w:val="fr-FR"/>
        </w:rPr>
        <w:t>Comment identifier les facteurs de risque les plus élevés?</w:t>
      </w:r>
    </w:p>
    <w:p w14:paraId="5EB13CE4" w14:textId="77777777" w:rsidR="00EC1F20" w:rsidRPr="00E711B3" w:rsidRDefault="00EC1F20" w:rsidP="00EC1F20">
      <w:pPr>
        <w:tabs>
          <w:tab w:val="num" w:pos="720"/>
        </w:tabs>
        <w:rPr>
          <w:sz w:val="23"/>
          <w:szCs w:val="23"/>
        </w:rPr>
      </w:pPr>
      <w:r>
        <w:rPr>
          <w:sz w:val="23"/>
          <w:szCs w:val="23"/>
          <w:lang w:val="fr-FR"/>
        </w:rPr>
        <w:t>Les techniques comprennent:</w:t>
      </w:r>
    </w:p>
    <w:p w14:paraId="5079ED24"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Évaluations de la conduite à bord d'un véhicule</w:t>
      </w:r>
    </w:p>
    <w:p w14:paraId="708B50A5" w14:textId="77777777" w:rsidR="00EC1F20" w:rsidRPr="003A1B6E" w:rsidRDefault="00EC1F20" w:rsidP="00EC1F20">
      <w:pPr>
        <w:pStyle w:val="ListParagraph"/>
        <w:numPr>
          <w:ilvl w:val="0"/>
          <w:numId w:val="6"/>
        </w:numPr>
        <w:tabs>
          <w:tab w:val="num" w:pos="720"/>
        </w:tabs>
        <w:rPr>
          <w:sz w:val="23"/>
          <w:szCs w:val="23"/>
          <w:lang w:val="fr-FR"/>
        </w:rPr>
      </w:pPr>
      <w:r>
        <w:rPr>
          <w:sz w:val="23"/>
          <w:szCs w:val="23"/>
          <w:lang w:val="fr-FR"/>
        </w:rPr>
        <w:t>Rétroaction des systèmes télématiques «boîte noire»</w:t>
      </w:r>
    </w:p>
    <w:p w14:paraId="2BA1D097" w14:textId="77777777" w:rsidR="00EC1F20" w:rsidRDefault="00EC1F20" w:rsidP="00EC1F20">
      <w:pPr>
        <w:pStyle w:val="ListParagraph"/>
        <w:numPr>
          <w:ilvl w:val="0"/>
          <w:numId w:val="6"/>
        </w:numPr>
        <w:tabs>
          <w:tab w:val="num" w:pos="720"/>
        </w:tabs>
        <w:rPr>
          <w:sz w:val="23"/>
          <w:szCs w:val="23"/>
        </w:rPr>
      </w:pPr>
      <w:r>
        <w:rPr>
          <w:sz w:val="23"/>
          <w:szCs w:val="23"/>
          <w:lang w:val="fr-FR"/>
        </w:rPr>
        <w:t>Le taux d'incidents</w:t>
      </w:r>
    </w:p>
    <w:p w14:paraId="79CBF410" w14:textId="77777777" w:rsidR="00EC1F20" w:rsidRDefault="00EC1F20" w:rsidP="00EC1F20">
      <w:pPr>
        <w:pStyle w:val="ListParagraph"/>
        <w:numPr>
          <w:ilvl w:val="0"/>
          <w:numId w:val="6"/>
        </w:numPr>
        <w:tabs>
          <w:tab w:val="num" w:pos="720"/>
        </w:tabs>
        <w:rPr>
          <w:sz w:val="23"/>
          <w:szCs w:val="23"/>
        </w:rPr>
      </w:pPr>
      <w:r>
        <w:rPr>
          <w:sz w:val="23"/>
          <w:szCs w:val="23"/>
          <w:lang w:val="fr-FR"/>
        </w:rPr>
        <w:t>Des évaluations en ligne</w:t>
      </w:r>
    </w:p>
    <w:p w14:paraId="205F0765" w14:textId="77777777" w:rsidR="00EC1F20" w:rsidRDefault="00EC1F20" w:rsidP="00EC1F20">
      <w:pPr>
        <w:pStyle w:val="ListParagraph"/>
        <w:numPr>
          <w:ilvl w:val="0"/>
          <w:numId w:val="6"/>
        </w:numPr>
        <w:tabs>
          <w:tab w:val="num" w:pos="720"/>
        </w:tabs>
        <w:rPr>
          <w:sz w:val="23"/>
          <w:szCs w:val="23"/>
        </w:rPr>
      </w:pPr>
      <w:r>
        <w:rPr>
          <w:sz w:val="23"/>
          <w:szCs w:val="23"/>
          <w:lang w:val="fr-FR"/>
        </w:rPr>
        <w:lastRenderedPageBreak/>
        <w:t>Rétroaction des collègues / du public</w:t>
      </w:r>
    </w:p>
    <w:p w14:paraId="78AB71A6" w14:textId="77777777" w:rsidR="00EC1F20" w:rsidRPr="003A1B6E" w:rsidRDefault="00EC1F20" w:rsidP="00EC1F20">
      <w:pPr>
        <w:tabs>
          <w:tab w:val="num" w:pos="720"/>
        </w:tabs>
        <w:rPr>
          <w:sz w:val="23"/>
          <w:szCs w:val="23"/>
          <w:lang w:val="fr-FR"/>
        </w:rPr>
      </w:pPr>
      <w:r>
        <w:rPr>
          <w:sz w:val="23"/>
          <w:szCs w:val="23"/>
          <w:lang w:val="fr-FR"/>
        </w:rPr>
        <w:t>Voir les instructions détaillées dans le document 3.2.4. Matrice d'intervention sur l'ensemble de ressources sur les risques routiers professionnels</w:t>
      </w:r>
    </w:p>
    <w:p w14:paraId="1F4983D0" w14:textId="7C0785C4" w:rsidR="00F360A4" w:rsidRPr="003A1B6E" w:rsidRDefault="00EC1F20" w:rsidP="00EC1F20">
      <w:pPr>
        <w:spacing w:after="0" w:line="240" w:lineRule="auto"/>
        <w:rPr>
          <w:lang w:val="fr-FR"/>
        </w:rPr>
      </w:pPr>
      <w:r>
        <w:rPr>
          <w:sz w:val="23"/>
          <w:szCs w:val="23"/>
          <w:lang w:val="fr-FR"/>
        </w:rPr>
        <w:t xml:space="preserve">Pour des conseils sur la formation continue, veuillez contacter: </w:t>
      </w:r>
      <w:hyperlink r:id="rId8" w:history="1">
        <w:r>
          <w:rPr>
            <w:lang w:val="fr-FR"/>
          </w:rPr>
          <w:t>mail@roadrisktoolkit.com</w:t>
        </w:r>
      </w:hyperlink>
      <w:r>
        <w:rPr>
          <w:lang w:val="fr-FR"/>
        </w:rPr>
        <w:t xml:space="preserve"> </w:t>
      </w:r>
    </w:p>
    <w:sectPr w:rsidR="00F360A4" w:rsidRPr="003A1B6E" w:rsidSect="003F3990">
      <w:headerReference w:type="first" r:id="rId9"/>
      <w:footerReference w:type="first" r:id="rId10"/>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E2F5" w14:textId="77777777" w:rsidR="00DF2592" w:rsidRDefault="00DF2592" w:rsidP="003F3990">
      <w:pPr>
        <w:spacing w:after="0" w:line="240" w:lineRule="auto"/>
      </w:pPr>
      <w:r>
        <w:separator/>
      </w:r>
    </w:p>
  </w:endnote>
  <w:endnote w:type="continuationSeparator" w:id="0">
    <w:p w14:paraId="0BDD07D0" w14:textId="77777777" w:rsidR="00DF2592" w:rsidRDefault="00DF2592"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AE68" w14:textId="5726B2B3" w:rsidR="003F3990" w:rsidRDefault="00010FF2" w:rsidP="003F3990">
    <w:pPr>
      <w:pStyle w:val="Footer"/>
      <w:tabs>
        <w:tab w:val="clear" w:pos="4513"/>
      </w:tabs>
      <w:spacing w:before="120"/>
      <w:jc w:val="center"/>
    </w:pPr>
    <w:r>
      <w:rPr>
        <w:noProof/>
        <w:color w:val="1E69AA"/>
        <w:sz w:val="32"/>
        <w:szCs w:val="32"/>
        <w:lang w:eastAsia="en-GB"/>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Pr>
        <w:noProof/>
        <w:color w:val="1E69AA"/>
        <w:sz w:val="32"/>
        <w:szCs w:val="32"/>
        <w:lang w:eastAsia="en-GB"/>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1E69AA"/>
        <w:sz w:val="32"/>
        <w:szCs w:val="32"/>
        <w:lang w:eastAsia="en-GB"/>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szCs w:val="32"/>
        <w:lang w:val="fr-FR"/>
      </w:rPr>
      <w:t>roadrisktoolkit.com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EC528" w14:textId="77777777" w:rsidR="00DF2592" w:rsidRDefault="00DF2592" w:rsidP="003F3990">
      <w:pPr>
        <w:spacing w:after="0" w:line="240" w:lineRule="auto"/>
      </w:pPr>
      <w:r>
        <w:separator/>
      </w:r>
    </w:p>
  </w:footnote>
  <w:footnote w:type="continuationSeparator" w:id="0">
    <w:p w14:paraId="5E025FD7" w14:textId="77777777" w:rsidR="00DF2592" w:rsidRDefault="00DF2592" w:rsidP="003F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31A" w14:textId="4030CC57" w:rsidR="003F3990" w:rsidRDefault="003F3990" w:rsidP="003F3990">
    <w:pPr>
      <w:pStyle w:val="Header"/>
      <w:tabs>
        <w:tab w:val="clear" w:pos="9026"/>
        <w:tab w:val="right" w:pos="8647"/>
      </w:tabs>
      <w:ind w:right="-897"/>
      <w:jc w:val="right"/>
    </w:pPr>
    <w:r>
      <w:rPr>
        <w:noProof/>
        <w:lang w:eastAsia="en-GB"/>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hint="default"/>
      </w:rPr>
    </w:lvl>
    <w:lvl w:ilvl="1" w:tplc="D1125FDE" w:tentative="1">
      <w:start w:val="1"/>
      <w:numFmt w:val="bullet"/>
      <w:lvlText w:val="•"/>
      <w:lvlJc w:val="left"/>
      <w:pPr>
        <w:tabs>
          <w:tab w:val="num" w:pos="1440"/>
        </w:tabs>
        <w:ind w:left="1440" w:hanging="360"/>
      </w:pPr>
      <w:rPr>
        <w:rFonts w:ascii="Arial" w:hAnsi="Arial" w:hint="default"/>
      </w:rPr>
    </w:lvl>
    <w:lvl w:ilvl="2" w:tplc="43EAEAC4" w:tentative="1">
      <w:start w:val="1"/>
      <w:numFmt w:val="bullet"/>
      <w:lvlText w:val="•"/>
      <w:lvlJc w:val="left"/>
      <w:pPr>
        <w:tabs>
          <w:tab w:val="num" w:pos="2160"/>
        </w:tabs>
        <w:ind w:left="2160" w:hanging="360"/>
      </w:pPr>
      <w:rPr>
        <w:rFonts w:ascii="Arial" w:hAnsi="Arial" w:hint="default"/>
      </w:rPr>
    </w:lvl>
    <w:lvl w:ilvl="3" w:tplc="FED26CB0" w:tentative="1">
      <w:start w:val="1"/>
      <w:numFmt w:val="bullet"/>
      <w:lvlText w:val="•"/>
      <w:lvlJc w:val="left"/>
      <w:pPr>
        <w:tabs>
          <w:tab w:val="num" w:pos="2880"/>
        </w:tabs>
        <w:ind w:left="2880" w:hanging="360"/>
      </w:pPr>
      <w:rPr>
        <w:rFonts w:ascii="Arial" w:hAnsi="Arial" w:hint="default"/>
      </w:rPr>
    </w:lvl>
    <w:lvl w:ilvl="4" w:tplc="12C45B3C" w:tentative="1">
      <w:start w:val="1"/>
      <w:numFmt w:val="bullet"/>
      <w:lvlText w:val="•"/>
      <w:lvlJc w:val="left"/>
      <w:pPr>
        <w:tabs>
          <w:tab w:val="num" w:pos="3600"/>
        </w:tabs>
        <w:ind w:left="3600" w:hanging="360"/>
      </w:pPr>
      <w:rPr>
        <w:rFonts w:ascii="Arial" w:hAnsi="Arial" w:hint="default"/>
      </w:rPr>
    </w:lvl>
    <w:lvl w:ilvl="5" w:tplc="6116E182" w:tentative="1">
      <w:start w:val="1"/>
      <w:numFmt w:val="bullet"/>
      <w:lvlText w:val="•"/>
      <w:lvlJc w:val="left"/>
      <w:pPr>
        <w:tabs>
          <w:tab w:val="num" w:pos="4320"/>
        </w:tabs>
        <w:ind w:left="4320" w:hanging="360"/>
      </w:pPr>
      <w:rPr>
        <w:rFonts w:ascii="Arial" w:hAnsi="Arial" w:hint="default"/>
      </w:rPr>
    </w:lvl>
    <w:lvl w:ilvl="6" w:tplc="D554AD12" w:tentative="1">
      <w:start w:val="1"/>
      <w:numFmt w:val="bullet"/>
      <w:lvlText w:val="•"/>
      <w:lvlJc w:val="left"/>
      <w:pPr>
        <w:tabs>
          <w:tab w:val="num" w:pos="5040"/>
        </w:tabs>
        <w:ind w:left="5040" w:hanging="360"/>
      </w:pPr>
      <w:rPr>
        <w:rFonts w:ascii="Arial" w:hAnsi="Arial" w:hint="default"/>
      </w:rPr>
    </w:lvl>
    <w:lvl w:ilvl="7" w:tplc="F9281AE4" w:tentative="1">
      <w:start w:val="1"/>
      <w:numFmt w:val="bullet"/>
      <w:lvlText w:val="•"/>
      <w:lvlJc w:val="left"/>
      <w:pPr>
        <w:tabs>
          <w:tab w:val="num" w:pos="5760"/>
        </w:tabs>
        <w:ind w:left="5760" w:hanging="360"/>
      </w:pPr>
      <w:rPr>
        <w:rFonts w:ascii="Arial" w:hAnsi="Arial" w:hint="default"/>
      </w:rPr>
    </w:lvl>
    <w:lvl w:ilvl="8" w:tplc="0DCC97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B09DD"/>
    <w:multiLevelType w:val="singleLevel"/>
    <w:tmpl w:val="B00C572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69012328"/>
    <w:multiLevelType w:val="hybridMultilevel"/>
    <w:tmpl w:val="D54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E1185"/>
    <w:multiLevelType w:val="hybridMultilevel"/>
    <w:tmpl w:val="920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5"/>
    <w:rsid w:val="00000DE1"/>
    <w:rsid w:val="00010FF2"/>
    <w:rsid w:val="000250D6"/>
    <w:rsid w:val="000349F3"/>
    <w:rsid w:val="001372BD"/>
    <w:rsid w:val="0015760F"/>
    <w:rsid w:val="001F1A7D"/>
    <w:rsid w:val="00241FD3"/>
    <w:rsid w:val="002D06D4"/>
    <w:rsid w:val="003202DF"/>
    <w:rsid w:val="00342E24"/>
    <w:rsid w:val="003A1B6E"/>
    <w:rsid w:val="003D65A8"/>
    <w:rsid w:val="003F3990"/>
    <w:rsid w:val="00421AC5"/>
    <w:rsid w:val="004631F0"/>
    <w:rsid w:val="004B47D0"/>
    <w:rsid w:val="005D0F6D"/>
    <w:rsid w:val="006428DE"/>
    <w:rsid w:val="006844B2"/>
    <w:rsid w:val="00692657"/>
    <w:rsid w:val="006C0EDA"/>
    <w:rsid w:val="006E2287"/>
    <w:rsid w:val="006E588A"/>
    <w:rsid w:val="006E6A2C"/>
    <w:rsid w:val="00764957"/>
    <w:rsid w:val="007819A6"/>
    <w:rsid w:val="007F6563"/>
    <w:rsid w:val="00820E57"/>
    <w:rsid w:val="008275DE"/>
    <w:rsid w:val="008908E1"/>
    <w:rsid w:val="008B4F51"/>
    <w:rsid w:val="008E3C35"/>
    <w:rsid w:val="00952C71"/>
    <w:rsid w:val="00963ACD"/>
    <w:rsid w:val="00973E14"/>
    <w:rsid w:val="00A17ED9"/>
    <w:rsid w:val="00AE450A"/>
    <w:rsid w:val="00B306DC"/>
    <w:rsid w:val="00B654B2"/>
    <w:rsid w:val="00B72C78"/>
    <w:rsid w:val="00BA302C"/>
    <w:rsid w:val="00C834DB"/>
    <w:rsid w:val="00CA0DBE"/>
    <w:rsid w:val="00CA12CD"/>
    <w:rsid w:val="00CE62E7"/>
    <w:rsid w:val="00D02C94"/>
    <w:rsid w:val="00D46E3B"/>
    <w:rsid w:val="00DC7C5D"/>
    <w:rsid w:val="00DF2592"/>
    <w:rsid w:val="00E27B34"/>
    <w:rsid w:val="00E64A52"/>
    <w:rsid w:val="00EB0692"/>
    <w:rsid w:val="00EB0B68"/>
    <w:rsid w:val="00EC1F20"/>
    <w:rsid w:val="00EC5615"/>
    <w:rsid w:val="00EE41D0"/>
    <w:rsid w:val="00F30D28"/>
    <w:rsid w:val="00F32D1E"/>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customStyle="1"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 w:type="paragraph" w:styleId="BalloonText">
    <w:name w:val="Balloon Text"/>
    <w:basedOn w:val="Normal"/>
    <w:link w:val="BalloonTextChar"/>
    <w:uiPriority w:val="99"/>
    <w:semiHidden/>
    <w:unhideWhenUsed/>
    <w:rsid w:val="003A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oadrisktoolkit.com" TargetMode="External"/><Relationship Id="rId3" Type="http://schemas.openxmlformats.org/officeDocument/2006/relationships/settings" Target="settings.xml"/><Relationship Id="rId7" Type="http://schemas.openxmlformats.org/officeDocument/2006/relationships/hyperlink" Target="https://roadrisktoolkit.com/drivers-and-ride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Elena</cp:lastModifiedBy>
  <cp:revision>3</cp:revision>
  <dcterms:created xsi:type="dcterms:W3CDTF">2020-05-28T15:17:00Z</dcterms:created>
  <dcterms:modified xsi:type="dcterms:W3CDTF">2020-05-31T15:16:00Z</dcterms:modified>
</cp:coreProperties>
</file>