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Default="003F3990">
      <w:bookmarkStart w:id="0" w:name="_Hlk35941988"/>
      <w:bookmarkStart w:id="1" w:name="_GoBack"/>
      <w:bookmarkEnd w:id="1"/>
    </w:p>
    <w:p w14:paraId="6765B1AE" w14:textId="77777777" w:rsidR="003F3990" w:rsidRDefault="003F3990"/>
    <w:bookmarkEnd w:id="0"/>
    <w:p w14:paraId="75BA0380" w14:textId="77777777" w:rsidR="002F6F1F" w:rsidRDefault="002F6F1F" w:rsidP="002F6F1F"/>
    <w:p w14:paraId="6471A2D7" w14:textId="5B23567E" w:rsidR="002F6F1F" w:rsidRDefault="002F6F1F" w:rsidP="002F6F1F">
      <w:r>
        <w:rPr>
          <w:lang w:val="fr-FR"/>
        </w:rPr>
        <w:t>Les coûts d'entretien peuvent être utilisés comme indicateur de votre performance en matière de sécurité routière. Les domaines suivants peuvent être mesurés pour donner une indication des différences dans la façon dont les véhicules sont conduits, en particulier lorsque la tâche et le domaine d'opération sont similaires:</w:t>
      </w:r>
    </w:p>
    <w:p w14:paraId="7680F622" w14:textId="77777777" w:rsidR="002F6F1F" w:rsidRDefault="002F6F1F" w:rsidP="002F6F1F">
      <w:pPr>
        <w:pStyle w:val="ListParagraph"/>
        <w:numPr>
          <w:ilvl w:val="0"/>
          <w:numId w:val="6"/>
        </w:numPr>
      </w:pPr>
      <w:r>
        <w:rPr>
          <w:lang w:val="fr-FR"/>
        </w:rPr>
        <w:t>Les taux d'usure des pneus</w:t>
      </w:r>
    </w:p>
    <w:p w14:paraId="4C6F62FF" w14:textId="77777777" w:rsidR="002F6F1F" w:rsidRDefault="002F6F1F" w:rsidP="002F6F1F">
      <w:pPr>
        <w:pStyle w:val="ListParagraph"/>
        <w:numPr>
          <w:ilvl w:val="0"/>
          <w:numId w:val="6"/>
        </w:numPr>
      </w:pPr>
      <w:r>
        <w:rPr>
          <w:lang w:val="fr-FR"/>
        </w:rPr>
        <w:t>Les taux d'usure des freins</w:t>
      </w:r>
    </w:p>
    <w:p w14:paraId="6835B929" w14:textId="77777777" w:rsidR="002F6F1F" w:rsidRDefault="002F6F1F" w:rsidP="002F6F1F">
      <w:pPr>
        <w:pStyle w:val="ListParagraph"/>
        <w:numPr>
          <w:ilvl w:val="0"/>
          <w:numId w:val="6"/>
        </w:numPr>
      </w:pPr>
      <w:r>
        <w:rPr>
          <w:lang w:val="fr-FR"/>
        </w:rPr>
        <w:t>Les frais d'entretien généraux</w:t>
      </w:r>
    </w:p>
    <w:p w14:paraId="3B940BDD" w14:textId="77777777" w:rsidR="002F6F1F" w:rsidRDefault="002F6F1F" w:rsidP="002F6F1F"/>
    <w:p w14:paraId="700D42A4" w14:textId="7C253CA2" w:rsidR="002F6F1F" w:rsidRDefault="002F6F1F" w:rsidP="002F6F1F">
      <w:r>
        <w:rPr>
          <w:lang w:val="fr-FR"/>
        </w:rPr>
        <w:t>Il est important de veiller à ce que les dommages non signalés, résultant des collisions mineures, ne soient pas pris en compte dans les coûts d'entretien des véhicules, surtout si vous disposez de services internes d'entretien des véhicules. Ceux-ci doivent toujours être mesurés comme des dommages par collision.</w:t>
      </w:r>
    </w:p>
    <w:p w14:paraId="1236033C" w14:textId="77777777" w:rsidR="002F6F1F" w:rsidRDefault="002F6F1F" w:rsidP="002F6F1F"/>
    <w:p w14:paraId="47C28B3C" w14:textId="3997DE40" w:rsidR="002F6F1F" w:rsidRDefault="002F6F1F" w:rsidP="002F6F1F">
      <w:r>
        <w:rPr>
          <w:lang w:val="fr-FR"/>
        </w:rPr>
        <w:t>Si l'augmentation des coûts de maintenance, par rapport aux coûts moyens pour le type de véhicule, peut être liée à un employé individuel, alors ces données indiquent que ce conducteur pourrait conduire de manière inappropriée, surtout si d'autres données (par exemple de la télématique) montrent également des comportements et tendances dangereuses.  Cela devrait conduire à une conversation entre l'employé et son supérieur hiérarchique pour comprendre les raisons de cette augmentation des coûts.</w:t>
      </w:r>
    </w:p>
    <w:p w14:paraId="179E0BE9" w14:textId="77777777" w:rsidR="002F6F1F" w:rsidRDefault="002F6F1F" w:rsidP="002F6F1F"/>
    <w:p w14:paraId="1F4983D0" w14:textId="3D26E14D" w:rsidR="00F360A4" w:rsidRPr="001064A3" w:rsidRDefault="002F6F1F" w:rsidP="002F6F1F">
      <w:r>
        <w:rPr>
          <w:lang w:val="fr-FR"/>
        </w:rPr>
        <w:t>Les coûts d'entretien peuvent également vous aider à observer les tendances des comportements de conduite sécuritaire au fil du temps, pour vous donner une indication de l'efficacité de votre programme de sécurité routière.  Cela peut également aider à identifier les différences entre les différents départements / opérations, mais vous devez faire attention lorsque vous utilisez ces données pour comparer la performance afin de garantir la cohérence des coûts des pièces et de la main-d'œuvre.  De même, l'inflation des coûts doit être prise en compte lors de l'analyse des données de tendance sur un certain nombre d'années, afin de garantir une comparaison équitable au fil du temps.</w:t>
      </w:r>
    </w:p>
    <w:sectPr w:rsidR="00F360A4" w:rsidRPr="001064A3" w:rsidSect="003F3990">
      <w:headerReference w:type="first" r:id="rId7"/>
      <w:footerReference w:type="first" r:id="rId8"/>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391D4" w14:textId="77777777" w:rsidR="00A6033F" w:rsidRDefault="00A6033F" w:rsidP="003F3990">
      <w:pPr>
        <w:spacing w:after="0" w:line="240" w:lineRule="auto"/>
      </w:pPr>
      <w:r>
        <w:separator/>
      </w:r>
    </w:p>
  </w:endnote>
  <w:endnote w:type="continuationSeparator" w:id="0">
    <w:p w14:paraId="3A98C967" w14:textId="77777777" w:rsidR="00A6033F" w:rsidRDefault="00A6033F"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lang w:val="fr-FR"/>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F4D03" w14:textId="77777777" w:rsidR="00A6033F" w:rsidRDefault="00A6033F" w:rsidP="003F3990">
      <w:pPr>
        <w:spacing w:after="0" w:line="240" w:lineRule="auto"/>
      </w:pPr>
      <w:r>
        <w:separator/>
      </w:r>
    </w:p>
  </w:footnote>
  <w:footnote w:type="continuationSeparator" w:id="0">
    <w:p w14:paraId="13430699" w14:textId="77777777" w:rsidR="00A6033F" w:rsidRDefault="00A6033F"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2828"/>
    <w:multiLevelType w:val="hybridMultilevel"/>
    <w:tmpl w:val="94700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C0975"/>
    <w:multiLevelType w:val="hybridMultilevel"/>
    <w:tmpl w:val="F73E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1064A3"/>
    <w:rsid w:val="001372BD"/>
    <w:rsid w:val="0015760F"/>
    <w:rsid w:val="001F1A7D"/>
    <w:rsid w:val="00241FD3"/>
    <w:rsid w:val="0029741C"/>
    <w:rsid w:val="002D06D4"/>
    <w:rsid w:val="002F592A"/>
    <w:rsid w:val="002F6F1F"/>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3C35"/>
    <w:rsid w:val="00952C71"/>
    <w:rsid w:val="00963ACD"/>
    <w:rsid w:val="00973E14"/>
    <w:rsid w:val="00A6033F"/>
    <w:rsid w:val="00AE450A"/>
    <w:rsid w:val="00B306DC"/>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2</cp:revision>
  <dcterms:created xsi:type="dcterms:W3CDTF">2020-05-28T14:48:00Z</dcterms:created>
  <dcterms:modified xsi:type="dcterms:W3CDTF">2020-05-28T14:48:00Z</dcterms:modified>
</cp:coreProperties>
</file>